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A3E39" w14:textId="1E9C2834" w:rsidR="008E5050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Características</w:t>
      </w:r>
    </w:p>
    <w:p w14:paraId="7B3EE1BF" w14:textId="77777777" w:rsidR="00252587" w:rsidRDefault="00252587" w:rsidP="00252587">
      <w:pPr>
        <w:pStyle w:val="Prrafodelista"/>
        <w:spacing w:line="360" w:lineRule="auto"/>
        <w:jc w:val="both"/>
        <w:rPr>
          <w:rFonts w:ascii="Humanst521 BT" w:hAnsi="Humanst521 BT"/>
          <w:b/>
          <w:bCs/>
        </w:rPr>
      </w:pPr>
    </w:p>
    <w:p w14:paraId="49097F8F" w14:textId="26A9BDF0" w:rsidR="001F147E" w:rsidRDefault="001F147E" w:rsidP="001F147E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Dimensiones:</w:t>
      </w:r>
    </w:p>
    <w:p w14:paraId="641ACFB6" w14:textId="10F7B0B1" w:rsidR="001F147E" w:rsidRDefault="00221692" w:rsidP="001F147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221692">
        <w:rPr>
          <w:rFonts w:ascii="Humanst521 BT" w:hAnsi="Humanst521 BT"/>
          <w:noProof/>
        </w:rPr>
        <w:drawing>
          <wp:inline distT="0" distB="0" distL="0" distR="0" wp14:anchorId="09421E3E" wp14:editId="488EDCE1">
            <wp:extent cx="4934639" cy="1762371"/>
            <wp:effectExtent l="0" t="0" r="0" b="9525"/>
            <wp:docPr id="7597285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72859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4639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C40F7" w14:textId="07BB09B8" w:rsidR="00221692" w:rsidRDefault="00221692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Transparencia</w:t>
      </w:r>
      <w:r w:rsidR="00C854DE">
        <w:rPr>
          <w:rFonts w:ascii="Humanst521 BT" w:hAnsi="Humanst521 BT"/>
        </w:rPr>
        <w:t>: Definimos</w:t>
      </w:r>
      <w:r w:rsidR="00C854DE" w:rsidRPr="00C854DE">
        <w:rPr>
          <w:rFonts w:ascii="Humanst521 BT" w:hAnsi="Humanst521 BT"/>
        </w:rPr>
        <w:t xml:space="preserve"> la transparencia como la oportunidad que tienen los </w:t>
      </w:r>
      <w:proofErr w:type="spellStart"/>
      <w:r w:rsidR="00C854DE" w:rsidRPr="00C854DE">
        <w:rPr>
          <w:rFonts w:ascii="Humanst521 BT" w:hAnsi="Humanst521 BT"/>
        </w:rPr>
        <w:t>stakeholders</w:t>
      </w:r>
      <w:proofErr w:type="spellEnd"/>
      <w:r w:rsidR="00C854DE" w:rsidRPr="00C854DE">
        <w:rPr>
          <w:rFonts w:ascii="Humanst521 BT" w:hAnsi="Humanst521 BT"/>
        </w:rPr>
        <w:t xml:space="preserve"> de ver las acciones realizadas dentro del </w:t>
      </w:r>
      <w:proofErr w:type="spellStart"/>
      <w:r w:rsidR="00C854DE" w:rsidRPr="00C854DE">
        <w:rPr>
          <w:rFonts w:ascii="Humanst521 BT" w:hAnsi="Humanst521 BT"/>
        </w:rPr>
        <w:t>DBE.Esta</w:t>
      </w:r>
      <w:proofErr w:type="spellEnd"/>
      <w:r w:rsidR="00C854DE" w:rsidRPr="00C854DE">
        <w:rPr>
          <w:rFonts w:ascii="Humanst521 BT" w:hAnsi="Humanst521 BT"/>
        </w:rPr>
        <w:t xml:space="preserve"> oportunidad se brinda si cada empresa involucrada tiene claridad sobre las dependencias de sus procesos de negocios, modelos de negocios y estrategia de empresas asociadas. Además, esto incluye claridad sobre la creación de valor y la rentabilidad de servicios y productos específicos del DBE.</w:t>
      </w:r>
    </w:p>
    <w:p w14:paraId="0BBE087D" w14:textId="6EC9CEA6" w:rsidR="0002365F" w:rsidRDefault="00F017E5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proofErr w:type="spellStart"/>
      <w:r>
        <w:rPr>
          <w:rFonts w:ascii="Humanst521 BT" w:hAnsi="Humanst521 BT"/>
        </w:rPr>
        <w:t>Gobernancia</w:t>
      </w:r>
      <w:proofErr w:type="spellEnd"/>
      <w:r>
        <w:rPr>
          <w:rFonts w:ascii="Humanst521 BT" w:hAnsi="Humanst521 BT"/>
        </w:rPr>
        <w:t xml:space="preserve">: </w:t>
      </w:r>
      <w:r w:rsidRPr="00F017E5">
        <w:rPr>
          <w:rFonts w:ascii="Humanst521 BT" w:hAnsi="Humanst521 BT"/>
        </w:rPr>
        <w:t xml:space="preserve">Definimos gobernanza como el proceso de guiar a una DBE a través de directrices, alineamientos y toma de </w:t>
      </w:r>
      <w:proofErr w:type="spellStart"/>
      <w:r w:rsidRPr="00F017E5">
        <w:rPr>
          <w:rFonts w:ascii="Humanst521 BT" w:hAnsi="Humanst521 BT"/>
        </w:rPr>
        <w:t>decisiones.Este</w:t>
      </w:r>
      <w:proofErr w:type="spellEnd"/>
      <w:r w:rsidRPr="00F017E5">
        <w:rPr>
          <w:rFonts w:ascii="Humanst521 BT" w:hAnsi="Humanst521 BT"/>
        </w:rPr>
        <w:t xml:space="preserve"> proceso dirige el DBE de forma centralizada mediante la organización de iniciativas de mejora, alinea la visión, las estrategias y los objetivos comerciales de la empresa entre sí y brinda consultoría para establecer los incentivos y KPI adecuados para fomentar el éxito del DBE. Además, gestiona temas como decisiones generales sobre</w:t>
      </w:r>
      <w:r w:rsidR="00B47B29">
        <w:rPr>
          <w:rFonts w:ascii="Humanst521 BT" w:hAnsi="Humanst521 BT"/>
        </w:rPr>
        <w:t xml:space="preserve"> </w:t>
      </w:r>
      <w:r w:rsidR="00B47B29" w:rsidRPr="00B47B29">
        <w:rPr>
          <w:rFonts w:ascii="Humanst521 BT" w:hAnsi="Humanst521 BT"/>
        </w:rPr>
        <w:t>continuidad del negocio, en marcos de gestión de proyectos (por ejemplo, metodologías ágiles) y monitorea su ejecución.</w:t>
      </w:r>
    </w:p>
    <w:p w14:paraId="2F0BAF65" w14:textId="2AE8D406" w:rsidR="00B47B29" w:rsidRDefault="00B47B2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proofErr w:type="spellStart"/>
      <w:r>
        <w:rPr>
          <w:rFonts w:ascii="Humanst521 BT" w:hAnsi="Humanst521 BT"/>
        </w:rPr>
        <w:t>Ampliabilidad</w:t>
      </w:r>
      <w:proofErr w:type="spellEnd"/>
      <w:r>
        <w:rPr>
          <w:rFonts w:ascii="Humanst521 BT" w:hAnsi="Humanst521 BT"/>
        </w:rPr>
        <w:t xml:space="preserve">: </w:t>
      </w:r>
      <w:r w:rsidRPr="00B47B29">
        <w:rPr>
          <w:rFonts w:ascii="Humanst521 BT" w:hAnsi="Humanst521 BT"/>
        </w:rPr>
        <w:t xml:space="preserve">Definimos la capacidad de expansión como el requisito previo para agregar nuevos componentes técnicos o funcionales al </w:t>
      </w:r>
      <w:proofErr w:type="spellStart"/>
      <w:r w:rsidRPr="00B47B29">
        <w:rPr>
          <w:rFonts w:ascii="Humanst521 BT" w:hAnsi="Humanst521 BT"/>
        </w:rPr>
        <w:t>DBE.Este</w:t>
      </w:r>
      <w:proofErr w:type="spellEnd"/>
      <w:r w:rsidRPr="00B47B29">
        <w:rPr>
          <w:rFonts w:ascii="Humanst521 BT" w:hAnsi="Humanst521 BT"/>
        </w:rPr>
        <w:t xml:space="preserve"> requisito previo se da cuando la DBE puede agregar nuevas empresas asociadas y puede acoplarse a otras DBE existentes.</w:t>
      </w:r>
    </w:p>
    <w:p w14:paraId="48F37F7E" w14:textId="7E838421" w:rsidR="00B47B29" w:rsidRDefault="00B47B2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Seguridad cibernética:</w:t>
      </w:r>
      <w:r w:rsidR="00A33E99">
        <w:rPr>
          <w:rFonts w:ascii="Humanst521 BT" w:hAnsi="Humanst521 BT"/>
        </w:rPr>
        <w:t xml:space="preserve"> </w:t>
      </w:r>
      <w:r w:rsidR="00A33E99" w:rsidRPr="00A33E99">
        <w:rPr>
          <w:rFonts w:ascii="Humanst521 BT" w:hAnsi="Humanst521 BT"/>
        </w:rPr>
        <w:t xml:space="preserve">:Definimos la ciberseguridad como la capacidad de proteger la infraestructura de TI y los datos de una DBE contra daños, robo o uso </w:t>
      </w:r>
      <w:proofErr w:type="spellStart"/>
      <w:r w:rsidR="00A33E99" w:rsidRPr="00A33E99">
        <w:rPr>
          <w:rFonts w:ascii="Humanst521 BT" w:hAnsi="Humanst521 BT"/>
        </w:rPr>
        <w:t>indebido.Esta</w:t>
      </w:r>
      <w:proofErr w:type="spellEnd"/>
      <w:r w:rsidR="00A33E99" w:rsidRPr="00A33E99">
        <w:rPr>
          <w:rFonts w:ascii="Humanst521 BT" w:hAnsi="Humanst521 BT"/>
        </w:rPr>
        <w:t xml:space="preserve"> capacidad realiza evaluaciones de seguridad, análisis de vulnerabilidad y evaluaciones de cumplimiento</w:t>
      </w:r>
      <w:r w:rsidR="00A33E99">
        <w:rPr>
          <w:rFonts w:ascii="Humanst521 BT" w:hAnsi="Humanst521 BT"/>
        </w:rPr>
        <w:t>.</w:t>
      </w:r>
    </w:p>
    <w:p w14:paraId="0383BFD4" w14:textId="3CDA50AD" w:rsidR="00A33E99" w:rsidRDefault="00A33E9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Base de conocimientos:</w:t>
      </w:r>
      <w:r w:rsidR="00E36639">
        <w:rPr>
          <w:rFonts w:ascii="Humanst521 BT" w:hAnsi="Humanst521 BT"/>
        </w:rPr>
        <w:t xml:space="preserve"> </w:t>
      </w:r>
      <w:r w:rsidR="00E36639" w:rsidRPr="00E36639">
        <w:rPr>
          <w:rFonts w:ascii="Humanst521 BT" w:hAnsi="Humanst521 BT"/>
        </w:rPr>
        <w:t xml:space="preserve">Definimos una base de conocimiento como una tecnología que permite el almacenamiento de información textual y visual que representa el conocimiento adquirido al trabajar con un </w:t>
      </w:r>
      <w:proofErr w:type="spellStart"/>
      <w:r w:rsidR="00E36639" w:rsidRPr="00E36639">
        <w:rPr>
          <w:rFonts w:ascii="Humanst521 BT" w:hAnsi="Humanst521 BT"/>
        </w:rPr>
        <w:t>DBE.Esta</w:t>
      </w:r>
      <w:proofErr w:type="spellEnd"/>
      <w:r w:rsidR="00E36639" w:rsidRPr="00E36639">
        <w:rPr>
          <w:rFonts w:ascii="Humanst521 BT" w:hAnsi="Humanst521 BT"/>
        </w:rPr>
        <w:t xml:space="preserve"> tecnología permite a las empresas participantes </w:t>
      </w:r>
      <w:r w:rsidR="00E36639" w:rsidRPr="00E36639">
        <w:rPr>
          <w:rFonts w:ascii="Humanst521 BT" w:hAnsi="Humanst521 BT"/>
        </w:rPr>
        <w:lastRenderedPageBreak/>
        <w:t>aprender continuamente los procesos, capacidades y dependencias de DBE con el DBE en evolución.</w:t>
      </w:r>
    </w:p>
    <w:p w14:paraId="0A211026" w14:textId="6D83E651" w:rsidR="00E36639" w:rsidRDefault="00E3663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proofErr w:type="spellStart"/>
      <w:r>
        <w:rPr>
          <w:rFonts w:ascii="Humanst521 BT" w:hAnsi="Humanst521 BT"/>
        </w:rPr>
        <w:t>Reutilizabilidad</w:t>
      </w:r>
      <w:proofErr w:type="spellEnd"/>
      <w:r>
        <w:rPr>
          <w:rFonts w:ascii="Humanst521 BT" w:hAnsi="Humanst521 BT"/>
        </w:rPr>
        <w:t xml:space="preserve">: </w:t>
      </w:r>
      <w:r w:rsidRPr="00E36639">
        <w:rPr>
          <w:rFonts w:ascii="Humanst521 BT" w:hAnsi="Humanst521 BT"/>
        </w:rPr>
        <w:t xml:space="preserve">Definimos la reutilización como el uso de componentes técnicos o funcionales existentes para diferentes </w:t>
      </w:r>
      <w:proofErr w:type="spellStart"/>
      <w:r w:rsidRPr="00E36639">
        <w:rPr>
          <w:rFonts w:ascii="Humanst521 BT" w:hAnsi="Humanst521 BT"/>
        </w:rPr>
        <w:t>propósitos.Este</w:t>
      </w:r>
      <w:proofErr w:type="spellEnd"/>
      <w:r w:rsidRPr="00E36639">
        <w:rPr>
          <w:rFonts w:ascii="Humanst521 BT" w:hAnsi="Humanst521 BT"/>
        </w:rPr>
        <w:t xml:space="preserve"> uso está permitido por la oportunidad de reutilizar servicios, plataformas, soluciones, casos de uso y empresas asociadas existentes para diferentes fines comerciales</w:t>
      </w:r>
      <w:r>
        <w:rPr>
          <w:rFonts w:ascii="Humanst521 BT" w:hAnsi="Humanst521 BT"/>
        </w:rPr>
        <w:t>.</w:t>
      </w:r>
    </w:p>
    <w:p w14:paraId="24499116" w14:textId="7AC767EE" w:rsidR="00E36639" w:rsidRDefault="00E3663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  <w:proofErr w:type="spellStart"/>
      <w:r>
        <w:rPr>
          <w:rFonts w:ascii="Humanst521 BT" w:hAnsi="Humanst521 BT"/>
        </w:rPr>
        <w:t>Estadanrización</w:t>
      </w:r>
      <w:proofErr w:type="spellEnd"/>
      <w:r>
        <w:rPr>
          <w:rFonts w:ascii="Humanst521 BT" w:hAnsi="Humanst521 BT"/>
        </w:rPr>
        <w:t xml:space="preserve">: </w:t>
      </w:r>
      <w:r w:rsidR="00900044" w:rsidRPr="00900044">
        <w:rPr>
          <w:rFonts w:ascii="Humanst521 BT" w:hAnsi="Humanst521 BT"/>
        </w:rPr>
        <w:t xml:space="preserve">Definimos la estandarización como el proceso de unificación basado en el consenso de las partes interesadas del </w:t>
      </w:r>
      <w:proofErr w:type="spellStart"/>
      <w:r w:rsidR="00900044" w:rsidRPr="00900044">
        <w:rPr>
          <w:rFonts w:ascii="Humanst521 BT" w:hAnsi="Humanst521 BT"/>
        </w:rPr>
        <w:t>DBE.Este</w:t>
      </w:r>
      <w:proofErr w:type="spellEnd"/>
      <w:r w:rsidR="00900044" w:rsidRPr="00900044">
        <w:rPr>
          <w:rFonts w:ascii="Humanst521 BT" w:hAnsi="Humanst521 BT"/>
        </w:rPr>
        <w:t xml:space="preserve"> proceso determina estándares para aspectos tecnológicos, como el intercambio de información a través de interfaces y aspectos comerciales como la unificación de los procesos comerciales de DBE</w:t>
      </w:r>
    </w:p>
    <w:p w14:paraId="29F8E30B" w14:textId="77777777" w:rsidR="00A33E99" w:rsidRPr="00221692" w:rsidRDefault="00A33E99" w:rsidP="00221692">
      <w:pPr>
        <w:pStyle w:val="Prrafodelista"/>
        <w:spacing w:line="360" w:lineRule="auto"/>
        <w:jc w:val="both"/>
        <w:rPr>
          <w:rFonts w:ascii="Humanst521 BT" w:hAnsi="Humanst521 BT"/>
        </w:rPr>
      </w:pPr>
    </w:p>
    <w:p w14:paraId="2A12EB67" w14:textId="319B5A4F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 xml:space="preserve">Fortalezas </w:t>
      </w:r>
    </w:p>
    <w:p w14:paraId="287BE038" w14:textId="74423C16" w:rsidR="005C66DB" w:rsidRDefault="005C66DB" w:rsidP="005C66DB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Evalúa la madurez desde una perspectiva de TI.</w:t>
      </w:r>
    </w:p>
    <w:p w14:paraId="6A4CDC73" w14:textId="134DA9CE" w:rsidR="007F74B4" w:rsidRDefault="00E8443A" w:rsidP="007F74B4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Brinda transparencia para comprender cómo surgen las EDB y qué niveles de madurez supera</w:t>
      </w:r>
      <w:r w:rsidR="007F74B4">
        <w:rPr>
          <w:rFonts w:ascii="Humanst521 BT" w:hAnsi="Humanst521 BT"/>
        </w:rPr>
        <w:t>n.</w:t>
      </w:r>
    </w:p>
    <w:p w14:paraId="04D386B3" w14:textId="140ED777" w:rsidR="007F74B4" w:rsidRDefault="007F74B4" w:rsidP="00F54952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A</w:t>
      </w:r>
      <w:r w:rsidRPr="007F74B4">
        <w:rPr>
          <w:rFonts w:ascii="Humanst521 BT" w:hAnsi="Humanst521 BT"/>
        </w:rPr>
        <w:t>yuda a identificar áreas de mejora dentro de las DBE considerando también diferentes perspectivas de los profesionales de TI</w:t>
      </w:r>
    </w:p>
    <w:p w14:paraId="31758845" w14:textId="5DF4D8E0" w:rsidR="00F17F5D" w:rsidRPr="00F54952" w:rsidRDefault="00F17F5D" w:rsidP="00F54952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F17F5D">
        <w:rPr>
          <w:rFonts w:ascii="Humanst521 BT" w:hAnsi="Humanst521 BT"/>
        </w:rPr>
        <w:t>Facilita comparaciones entre diferentes tipos de empresas, lo que ayuda a entender su posición en el ecosistema digital</w:t>
      </w:r>
    </w:p>
    <w:p w14:paraId="662F6A9D" w14:textId="2AEEA025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Debilidades</w:t>
      </w:r>
    </w:p>
    <w:p w14:paraId="66EFC87F" w14:textId="00123F70" w:rsidR="00335172" w:rsidRPr="00335172" w:rsidRDefault="00335172" w:rsidP="00F31DD9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335172">
        <w:rPr>
          <w:rFonts w:ascii="Humanst521 BT" w:hAnsi="Humanst521 BT"/>
        </w:rPr>
        <w:t>La autoevaluación y la implementación de mejoras pueden requerir un tiempo y recursos significativos, lo que puede ser un obstáculo para algunas organizaciones, especialmente las más pequeñas</w:t>
      </w:r>
    </w:p>
    <w:p w14:paraId="5D359DDC" w14:textId="77777777" w:rsidR="00335172" w:rsidRPr="00CB5C3D" w:rsidRDefault="00335172" w:rsidP="00F31DD9">
      <w:pPr>
        <w:pStyle w:val="Prrafodelista"/>
        <w:spacing w:line="360" w:lineRule="auto"/>
        <w:jc w:val="both"/>
        <w:rPr>
          <w:rFonts w:ascii="Humanst521 BT" w:hAnsi="Humanst521 BT"/>
          <w:b/>
          <w:bCs/>
        </w:rPr>
      </w:pPr>
    </w:p>
    <w:p w14:paraId="69E193A0" w14:textId="0B980D78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Relevancia</w:t>
      </w:r>
    </w:p>
    <w:p w14:paraId="4352F16F" w14:textId="1E7E367F" w:rsidR="0070775A" w:rsidRPr="0070775A" w:rsidRDefault="0070775A" w:rsidP="0070775A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70775A">
        <w:rPr>
          <w:rFonts w:ascii="Humanst521 BT" w:hAnsi="Humanst521 BT"/>
        </w:rPr>
        <w:t>Ayuda a las organizaciones a entender su nivel de madurez y a planificar estrategias para mejorar su competitividad en el ecosistema digital</w:t>
      </w:r>
    </w:p>
    <w:p w14:paraId="1896BD58" w14:textId="77777777" w:rsidR="0070775A" w:rsidRPr="00CB5C3D" w:rsidRDefault="0070775A" w:rsidP="0070775A">
      <w:pPr>
        <w:pStyle w:val="Prrafodelista"/>
        <w:spacing w:line="360" w:lineRule="auto"/>
        <w:jc w:val="both"/>
        <w:rPr>
          <w:rFonts w:ascii="Humanst521 BT" w:hAnsi="Humanst521 BT"/>
          <w:b/>
          <w:bCs/>
        </w:rPr>
      </w:pPr>
    </w:p>
    <w:p w14:paraId="15748652" w14:textId="19A673EF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Ap</w:t>
      </w:r>
      <w:r w:rsidR="0070775A">
        <w:rPr>
          <w:rFonts w:ascii="Humanst521 BT" w:hAnsi="Humanst521 BT"/>
          <w:b/>
          <w:bCs/>
        </w:rPr>
        <w:t>licabilidad</w:t>
      </w:r>
    </w:p>
    <w:p w14:paraId="519FF750" w14:textId="1C3B0D81" w:rsidR="0070775A" w:rsidRDefault="00E95918" w:rsidP="0070775A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E95918">
        <w:rPr>
          <w:rFonts w:ascii="Humanst521 BT" w:hAnsi="Humanst521 BT"/>
        </w:rPr>
        <w:t>Es aplicable a diferentes tipos de empresas dentro de un ecosistema digital, permitiendo personalizar la evaluación según las características específicas de cada organización</w:t>
      </w:r>
    </w:p>
    <w:p w14:paraId="352DF8B7" w14:textId="77777777" w:rsidR="00E95918" w:rsidRPr="00E95918" w:rsidRDefault="00E95918" w:rsidP="0070775A">
      <w:pPr>
        <w:pStyle w:val="Prrafodelista"/>
        <w:spacing w:line="360" w:lineRule="auto"/>
        <w:jc w:val="both"/>
        <w:rPr>
          <w:rFonts w:ascii="Humanst521 BT" w:hAnsi="Humanst521 BT"/>
        </w:rPr>
      </w:pPr>
    </w:p>
    <w:p w14:paraId="2E9224E1" w14:textId="77777777" w:rsidR="00E95918" w:rsidRDefault="00E95918" w:rsidP="0070775A">
      <w:pPr>
        <w:pStyle w:val="Prrafodelista"/>
        <w:spacing w:line="360" w:lineRule="auto"/>
        <w:jc w:val="both"/>
        <w:rPr>
          <w:rFonts w:ascii="Humanst521 BT" w:hAnsi="Humanst521 BT"/>
          <w:b/>
          <w:bCs/>
        </w:rPr>
      </w:pPr>
    </w:p>
    <w:p w14:paraId="6506CF80" w14:textId="0A3FD460" w:rsidR="0070775A" w:rsidRDefault="0070775A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>
        <w:rPr>
          <w:rFonts w:ascii="Humanst521 BT" w:hAnsi="Humanst521 BT"/>
          <w:b/>
          <w:bCs/>
        </w:rPr>
        <w:lastRenderedPageBreak/>
        <w:t>Aporte</w:t>
      </w:r>
    </w:p>
    <w:p w14:paraId="0E191E55" w14:textId="75274D4E" w:rsidR="002B22E3" w:rsidRPr="009176CD" w:rsidRDefault="002B22E3" w:rsidP="009176CD">
      <w:pPr>
        <w:pStyle w:val="Prrafodelista"/>
        <w:numPr>
          <w:ilvl w:val="0"/>
          <w:numId w:val="2"/>
        </w:numPr>
        <w:spacing w:line="360" w:lineRule="auto"/>
        <w:ind w:left="851"/>
        <w:jc w:val="both"/>
        <w:rPr>
          <w:rFonts w:ascii="Humanst521 BT" w:hAnsi="Humanst521 BT"/>
        </w:rPr>
      </w:pPr>
      <w:r>
        <w:rPr>
          <w:rFonts w:ascii="Humanst521 BT" w:hAnsi="Humanst521 BT"/>
        </w:rPr>
        <w:t>P</w:t>
      </w:r>
      <w:r w:rsidRPr="002B22E3">
        <w:rPr>
          <w:rFonts w:ascii="Humanst521 BT" w:hAnsi="Humanst521 BT"/>
        </w:rPr>
        <w:t>ermite a los profesionales revelar brechas en el DBE y distinciones de madurez dentro de la empresa participante al considerar la perspectiva de cada empresa participante y las perspectivas del profesional de TI de múltiples empleados de cada empresa</w:t>
      </w:r>
      <w:r>
        <w:rPr>
          <w:rFonts w:ascii="Humanst521 BT" w:hAnsi="Humanst521 BT"/>
        </w:rPr>
        <w:t>.</w:t>
      </w:r>
    </w:p>
    <w:p w14:paraId="48B518F0" w14:textId="0032FA8C" w:rsidR="002B22E3" w:rsidRPr="009176CD" w:rsidRDefault="002B22E3" w:rsidP="009176CD">
      <w:pPr>
        <w:pStyle w:val="Prrafodelista"/>
        <w:numPr>
          <w:ilvl w:val="0"/>
          <w:numId w:val="2"/>
        </w:numPr>
        <w:spacing w:line="360" w:lineRule="auto"/>
        <w:ind w:left="851"/>
        <w:jc w:val="both"/>
        <w:rPr>
          <w:rFonts w:ascii="Humanst521 BT" w:hAnsi="Humanst521 BT"/>
        </w:rPr>
      </w:pPr>
      <w:r>
        <w:rPr>
          <w:rFonts w:ascii="Humanst521 BT" w:hAnsi="Humanst521 BT"/>
        </w:rPr>
        <w:t>A</w:t>
      </w:r>
      <w:r w:rsidRPr="002B22E3">
        <w:rPr>
          <w:rFonts w:ascii="Humanst521 BT" w:hAnsi="Humanst521 BT"/>
        </w:rPr>
        <w:t>yuda a los profesionales a identificar margen de mejora en la colaboración y ayuda a las empresas a evaluar y comparar su estado actual con las empresas asociadas dentro de las DBE</w:t>
      </w:r>
      <w:r>
        <w:rPr>
          <w:rFonts w:ascii="Humanst521 BT" w:hAnsi="Humanst521 BT"/>
        </w:rPr>
        <w:t>.</w:t>
      </w:r>
    </w:p>
    <w:p w14:paraId="19AE2459" w14:textId="1205557A" w:rsidR="002B22E3" w:rsidRDefault="009176CD" w:rsidP="009176CD">
      <w:pPr>
        <w:pStyle w:val="Prrafodelista"/>
        <w:numPr>
          <w:ilvl w:val="0"/>
          <w:numId w:val="2"/>
        </w:numPr>
        <w:spacing w:line="360" w:lineRule="auto"/>
        <w:ind w:left="851"/>
        <w:jc w:val="both"/>
        <w:rPr>
          <w:rFonts w:ascii="Humanst521 BT" w:hAnsi="Humanst521 BT"/>
        </w:rPr>
      </w:pPr>
      <w:r w:rsidRPr="009176CD">
        <w:rPr>
          <w:rFonts w:ascii="Humanst521 BT" w:hAnsi="Humanst521 BT"/>
        </w:rPr>
        <w:t>permite a los investigadores evaluar las DBE existentes. Además, proporcionamos pruebas convincentes de la relevancia a largo plazo del fenómeno de las EDB.</w:t>
      </w:r>
    </w:p>
    <w:p w14:paraId="1B2BA474" w14:textId="2106C4A1" w:rsidR="004A5F5F" w:rsidRDefault="00326F78" w:rsidP="00647906">
      <w:pPr>
        <w:pStyle w:val="Prrafodelista"/>
        <w:numPr>
          <w:ilvl w:val="0"/>
          <w:numId w:val="2"/>
        </w:numPr>
        <w:spacing w:line="360" w:lineRule="auto"/>
        <w:ind w:left="851"/>
        <w:jc w:val="both"/>
        <w:rPr>
          <w:rFonts w:ascii="Humanst521 BT" w:hAnsi="Humanst521 BT"/>
        </w:rPr>
      </w:pPr>
      <w:r w:rsidRPr="00326F78">
        <w:rPr>
          <w:rFonts w:ascii="Humanst521 BT" w:hAnsi="Humanst521 BT"/>
        </w:rPr>
        <w:t>Facilita la identificación de oportunidades de negocio y mejora en la cadena de valor digital</w:t>
      </w:r>
    </w:p>
    <w:p w14:paraId="3D93F5D1" w14:textId="1C2D8D44" w:rsidR="00B8756C" w:rsidRPr="004A5F5F" w:rsidRDefault="00B8756C" w:rsidP="00B8756C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>
        <w:rPr>
          <w:rFonts w:ascii="Humanst521 BT" w:hAnsi="Humanst521 BT"/>
        </w:rPr>
        <w:t xml:space="preserve"> </w:t>
      </w:r>
      <w:r>
        <w:rPr>
          <w:rFonts w:ascii="Humanst521 BT" w:hAnsi="Humanst521 BT"/>
          <w:b/>
          <w:bCs/>
        </w:rPr>
        <w:t>Implementación ¿*</w:t>
      </w:r>
    </w:p>
    <w:p w14:paraId="704A1922" w14:textId="77777777" w:rsidR="00B8756C" w:rsidRDefault="00B8756C" w:rsidP="00B8756C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AA306E">
        <w:rPr>
          <w:rFonts w:ascii="Humanst521 BT" w:hAnsi="Humanst521 BT"/>
          <w:highlight w:val="yellow"/>
        </w:rPr>
        <w:t>EDB: ECOSISTEMA EMPRESARIAL DIGITAL.</w:t>
      </w:r>
    </w:p>
    <w:p w14:paraId="65B30EC2" w14:textId="77777777" w:rsidR="00B8756C" w:rsidRDefault="00B8756C" w:rsidP="00B8756C">
      <w:pPr>
        <w:pStyle w:val="Prrafodelista"/>
        <w:spacing w:line="360" w:lineRule="auto"/>
        <w:jc w:val="both"/>
        <w:rPr>
          <w:rFonts w:ascii="Humanst521 BT" w:hAnsi="Humanst521 BT"/>
        </w:rPr>
      </w:pPr>
    </w:p>
    <w:p w14:paraId="214A076A" w14:textId="77777777" w:rsidR="00B8756C" w:rsidRPr="001F3BBA" w:rsidRDefault="00B8756C" w:rsidP="00B8756C">
      <w:pPr>
        <w:pStyle w:val="Prrafodelista"/>
        <w:spacing w:line="360" w:lineRule="auto"/>
        <w:jc w:val="both"/>
        <w:rPr>
          <w:rFonts w:ascii="Humanst521 BT" w:hAnsi="Humanst521 BT"/>
          <w:u w:val="single"/>
        </w:rPr>
      </w:pPr>
      <w:r w:rsidRPr="001F3BBA">
        <w:rPr>
          <w:rFonts w:ascii="Humanst521 BT" w:hAnsi="Humanst521 BT"/>
          <w:u w:val="single"/>
        </w:rPr>
        <w:t xml:space="preserve">Motivación e </w:t>
      </w:r>
      <w:r>
        <w:rPr>
          <w:rFonts w:ascii="Humanst521 BT" w:hAnsi="Humanst521 BT"/>
          <w:u w:val="single"/>
        </w:rPr>
        <w:t>i</w:t>
      </w:r>
      <w:r w:rsidRPr="001F3BBA">
        <w:rPr>
          <w:rFonts w:ascii="Humanst521 BT" w:hAnsi="Humanst521 BT"/>
          <w:u w:val="single"/>
        </w:rPr>
        <w:t xml:space="preserve">dentificación del </w:t>
      </w:r>
      <w:r>
        <w:rPr>
          <w:rFonts w:ascii="Humanst521 BT" w:hAnsi="Humanst521 BT"/>
          <w:u w:val="single"/>
        </w:rPr>
        <w:t>p</w:t>
      </w:r>
      <w:r w:rsidRPr="001F3BBA">
        <w:rPr>
          <w:rFonts w:ascii="Humanst521 BT" w:hAnsi="Humanst521 BT"/>
          <w:u w:val="single"/>
        </w:rPr>
        <w:t>roblema (Sección 4.1):</w:t>
      </w:r>
    </w:p>
    <w:p w14:paraId="300B264E" w14:textId="77777777" w:rsidR="00B8756C" w:rsidRDefault="00B8756C" w:rsidP="00B8756C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Humanst521 BT" w:hAnsi="Humanst521 BT"/>
        </w:rPr>
      </w:pPr>
      <w:r w:rsidRPr="001F3BBA">
        <w:rPr>
          <w:rFonts w:ascii="Humanst521 BT" w:hAnsi="Humanst521 BT"/>
        </w:rPr>
        <w:t>Se identificó la necesidad de un modelo de madurez específico para DBE, dado que no existían modelos adecuados que abordaran las dimensiones relevantes desde una perspectiva de TI.</w:t>
      </w:r>
    </w:p>
    <w:p w14:paraId="36C94C0A" w14:textId="77777777" w:rsidR="00B8756C" w:rsidRPr="001F3BBA" w:rsidRDefault="00B8756C" w:rsidP="00B8756C">
      <w:pPr>
        <w:pStyle w:val="Prrafodelista"/>
        <w:numPr>
          <w:ilvl w:val="0"/>
          <w:numId w:val="15"/>
        </w:numPr>
        <w:spacing w:line="360" w:lineRule="auto"/>
        <w:jc w:val="both"/>
        <w:rPr>
          <w:rFonts w:ascii="Humanst521 BT" w:hAnsi="Humanst521 BT"/>
        </w:rPr>
      </w:pPr>
      <w:r w:rsidRPr="001F3BBA">
        <w:rPr>
          <w:rFonts w:ascii="Humanst521 BT" w:hAnsi="Humanst521 BT"/>
        </w:rPr>
        <w:t>Se destacó la importancia de aumentar la madurez de los DBE para fomentar el éxito comercial y la colaboración entre las organizaciones.</w:t>
      </w:r>
    </w:p>
    <w:p w14:paraId="6376DCF8" w14:textId="77777777" w:rsidR="00B8756C" w:rsidRDefault="00B8756C" w:rsidP="00B8756C">
      <w:pPr>
        <w:pStyle w:val="Prrafodelista"/>
        <w:spacing w:line="360" w:lineRule="auto"/>
        <w:jc w:val="both"/>
        <w:rPr>
          <w:rFonts w:ascii="Humanst521 BT" w:hAnsi="Humanst521 BT"/>
        </w:rPr>
      </w:pPr>
    </w:p>
    <w:p w14:paraId="6207FEEB" w14:textId="77777777" w:rsidR="00B8756C" w:rsidRPr="001F3BBA" w:rsidRDefault="00B8756C" w:rsidP="00B8756C">
      <w:pPr>
        <w:pStyle w:val="Prrafodelista"/>
        <w:spacing w:line="360" w:lineRule="auto"/>
        <w:jc w:val="both"/>
        <w:rPr>
          <w:rFonts w:ascii="Humanst521 BT" w:hAnsi="Humanst521 BT"/>
          <w:u w:val="single"/>
        </w:rPr>
      </w:pPr>
      <w:r w:rsidRPr="001F3BBA">
        <w:rPr>
          <w:rFonts w:ascii="Humanst521 BT" w:hAnsi="Humanst521 BT"/>
          <w:u w:val="single"/>
        </w:rPr>
        <w:t xml:space="preserve">Definición de </w:t>
      </w:r>
      <w:r>
        <w:rPr>
          <w:rFonts w:ascii="Humanst521 BT" w:hAnsi="Humanst521 BT"/>
          <w:u w:val="single"/>
        </w:rPr>
        <w:t>r</w:t>
      </w:r>
      <w:r w:rsidRPr="001F3BBA">
        <w:rPr>
          <w:rFonts w:ascii="Humanst521 BT" w:hAnsi="Humanst521 BT"/>
          <w:u w:val="single"/>
        </w:rPr>
        <w:t xml:space="preserve">equisitos de la </w:t>
      </w:r>
      <w:r>
        <w:rPr>
          <w:rFonts w:ascii="Humanst521 BT" w:hAnsi="Humanst521 BT"/>
          <w:u w:val="single"/>
        </w:rPr>
        <w:t>s</w:t>
      </w:r>
      <w:r w:rsidRPr="001F3BBA">
        <w:rPr>
          <w:rFonts w:ascii="Humanst521 BT" w:hAnsi="Humanst521 BT"/>
          <w:u w:val="single"/>
        </w:rPr>
        <w:t>olución (Sección 4.2):</w:t>
      </w:r>
    </w:p>
    <w:p w14:paraId="67CB5BA1" w14:textId="77777777" w:rsidR="00B8756C" w:rsidRPr="001F3BBA" w:rsidRDefault="00B8756C" w:rsidP="00B8756C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Humanst521 BT" w:hAnsi="Humanst521 BT"/>
        </w:rPr>
      </w:pPr>
      <w:r w:rsidRPr="001F3BBA">
        <w:rPr>
          <w:rFonts w:ascii="Humanst521 BT" w:hAnsi="Humanst521 BT"/>
        </w:rPr>
        <w:t>Se llevaron a cabo entrevistas con expertos y una revisión sistemática de la literatura para identificar los requisitos necesarios para el modelo de madurez.</w:t>
      </w:r>
    </w:p>
    <w:p w14:paraId="7F871CA8" w14:textId="77777777" w:rsidR="00B8756C" w:rsidRDefault="00B8756C" w:rsidP="00B8756C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Humanst521 BT" w:hAnsi="Humanst521 BT"/>
        </w:rPr>
      </w:pPr>
      <w:r w:rsidRPr="001F3BBA">
        <w:rPr>
          <w:rFonts w:ascii="Humanst521 BT" w:hAnsi="Humanst521 BT"/>
        </w:rPr>
        <w:t>Se definieron las dimensiones clave que el modelo debía abordar, asegurando que fueran relevantes y aplicables a diferentes contextos industriales.</w:t>
      </w:r>
    </w:p>
    <w:p w14:paraId="7D634BD1" w14:textId="77777777" w:rsidR="00B8756C" w:rsidRPr="001F3BBA" w:rsidRDefault="00B8756C" w:rsidP="00B8756C">
      <w:pPr>
        <w:pStyle w:val="Prrafodelista"/>
        <w:spacing w:line="360" w:lineRule="auto"/>
        <w:ind w:left="1440"/>
        <w:jc w:val="both"/>
        <w:rPr>
          <w:rFonts w:ascii="Humanst521 BT" w:hAnsi="Humanst521 BT"/>
        </w:rPr>
      </w:pPr>
    </w:p>
    <w:p w14:paraId="65609B9E" w14:textId="77777777" w:rsidR="00B8756C" w:rsidRPr="00AE0BFB" w:rsidRDefault="00B8756C" w:rsidP="00B8756C">
      <w:pPr>
        <w:pStyle w:val="Prrafodelista"/>
        <w:spacing w:line="360" w:lineRule="auto"/>
        <w:jc w:val="both"/>
        <w:rPr>
          <w:rFonts w:ascii="Humanst521 BT" w:hAnsi="Humanst521 BT"/>
          <w:u w:val="single"/>
        </w:rPr>
      </w:pPr>
      <w:r w:rsidRPr="00AE0BFB">
        <w:rPr>
          <w:rFonts w:ascii="Humanst521 BT" w:hAnsi="Humanst521 BT"/>
          <w:u w:val="single"/>
        </w:rPr>
        <w:t xml:space="preserve">Diseño del </w:t>
      </w:r>
      <w:r>
        <w:rPr>
          <w:rFonts w:ascii="Humanst521 BT" w:hAnsi="Humanst521 BT"/>
          <w:u w:val="single"/>
        </w:rPr>
        <w:t>m</w:t>
      </w:r>
      <w:r w:rsidRPr="00AE0BFB">
        <w:rPr>
          <w:rFonts w:ascii="Humanst521 BT" w:hAnsi="Humanst521 BT"/>
          <w:u w:val="single"/>
        </w:rPr>
        <w:t xml:space="preserve">odelo de </w:t>
      </w:r>
      <w:r>
        <w:rPr>
          <w:rFonts w:ascii="Humanst521 BT" w:hAnsi="Humanst521 BT"/>
          <w:u w:val="single"/>
        </w:rPr>
        <w:t>m</w:t>
      </w:r>
      <w:r w:rsidRPr="00AE0BFB">
        <w:rPr>
          <w:rFonts w:ascii="Humanst521 BT" w:hAnsi="Humanst521 BT"/>
          <w:u w:val="single"/>
        </w:rPr>
        <w:t>adurez (Sección 4.3):</w:t>
      </w:r>
    </w:p>
    <w:p w14:paraId="463EDEA1" w14:textId="77777777" w:rsidR="00B8756C" w:rsidRPr="00AF7888" w:rsidRDefault="00B8756C" w:rsidP="00B8756C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Humanst521 BT" w:hAnsi="Humanst521 BT"/>
        </w:rPr>
      </w:pPr>
      <w:r w:rsidRPr="001F3BBA">
        <w:rPr>
          <w:rFonts w:ascii="Humanst521 BT" w:hAnsi="Humanst521 BT"/>
        </w:rPr>
        <w:t xml:space="preserve">Se desarrolló un modelo que comprende siete dimensiones de análisis y cinco niveles de madurez. </w:t>
      </w:r>
      <w:r w:rsidRPr="00AF7888">
        <w:rPr>
          <w:rFonts w:ascii="Humanst521 BT" w:hAnsi="Humanst521 BT"/>
        </w:rPr>
        <w:t xml:space="preserve">Las dimensiones incluyen aspectos como transparencia, gobernanza, </w:t>
      </w:r>
      <w:proofErr w:type="spellStart"/>
      <w:r>
        <w:rPr>
          <w:rFonts w:ascii="Humanst521 BT" w:hAnsi="Humanst521 BT"/>
        </w:rPr>
        <w:t>amplia</w:t>
      </w:r>
      <w:r w:rsidRPr="00AF7888">
        <w:rPr>
          <w:rFonts w:ascii="Humanst521 BT" w:hAnsi="Humanst521 BT"/>
        </w:rPr>
        <w:t>bilidad</w:t>
      </w:r>
      <w:proofErr w:type="spellEnd"/>
      <w:r w:rsidRPr="00AF7888">
        <w:rPr>
          <w:rFonts w:ascii="Humanst521 BT" w:hAnsi="Humanst521 BT"/>
        </w:rPr>
        <w:t>, ciberseguridad, base de conocimiento, reutilización y estandarización.</w:t>
      </w:r>
    </w:p>
    <w:p w14:paraId="74EFA558" w14:textId="77777777" w:rsidR="00B8756C" w:rsidRDefault="00B8756C" w:rsidP="00B8756C">
      <w:pPr>
        <w:pStyle w:val="Prrafodelista"/>
        <w:numPr>
          <w:ilvl w:val="0"/>
          <w:numId w:val="17"/>
        </w:numPr>
        <w:spacing w:line="360" w:lineRule="auto"/>
        <w:jc w:val="both"/>
        <w:rPr>
          <w:rFonts w:ascii="Humanst521 BT" w:hAnsi="Humanst521 BT"/>
        </w:rPr>
      </w:pPr>
      <w:r w:rsidRPr="00AF7888">
        <w:rPr>
          <w:rFonts w:ascii="Humanst521 BT" w:hAnsi="Humanst521 BT"/>
        </w:rPr>
        <w:t>Este diseño se considera óptimo para cubrir todos los aspectos relevantes y proporcionar claridad en los resultados de la evaluación.</w:t>
      </w:r>
    </w:p>
    <w:p w14:paraId="28A71F86" w14:textId="77777777" w:rsidR="00B8756C" w:rsidRDefault="00B8756C" w:rsidP="00B8756C">
      <w:pPr>
        <w:pStyle w:val="Prrafodelista"/>
        <w:spacing w:line="360" w:lineRule="auto"/>
        <w:ind w:left="1440"/>
        <w:jc w:val="both"/>
        <w:rPr>
          <w:rFonts w:ascii="Humanst521 BT" w:hAnsi="Humanst521 BT"/>
        </w:rPr>
      </w:pPr>
    </w:p>
    <w:p w14:paraId="2E712994" w14:textId="77777777" w:rsidR="00B8756C" w:rsidRDefault="00B8756C" w:rsidP="00B8756C">
      <w:pPr>
        <w:spacing w:line="360" w:lineRule="auto"/>
        <w:ind w:left="1080"/>
        <w:jc w:val="both"/>
        <w:rPr>
          <w:rFonts w:ascii="Humanst521 BT" w:hAnsi="Humanst521 BT"/>
        </w:rPr>
      </w:pPr>
      <w:r w:rsidRPr="00CD325A">
        <w:rPr>
          <w:rFonts w:ascii="Humanst521 BT" w:hAnsi="Humanst521 BT"/>
          <w:u w:val="single"/>
        </w:rPr>
        <w:t xml:space="preserve">Aplicación del </w:t>
      </w:r>
      <w:r>
        <w:rPr>
          <w:rFonts w:ascii="Humanst521 BT" w:hAnsi="Humanst521 BT"/>
          <w:u w:val="single"/>
        </w:rPr>
        <w:t>m</w:t>
      </w:r>
      <w:r w:rsidRPr="00CD325A">
        <w:rPr>
          <w:rFonts w:ascii="Humanst521 BT" w:hAnsi="Humanst521 BT"/>
          <w:u w:val="single"/>
        </w:rPr>
        <w:t xml:space="preserve">odelo de </w:t>
      </w:r>
      <w:r>
        <w:rPr>
          <w:rFonts w:ascii="Humanst521 BT" w:hAnsi="Humanst521 BT"/>
          <w:u w:val="single"/>
        </w:rPr>
        <w:t>m</w:t>
      </w:r>
      <w:r w:rsidRPr="00CD325A">
        <w:rPr>
          <w:rFonts w:ascii="Humanst521 BT" w:hAnsi="Humanst521 BT"/>
          <w:u w:val="single"/>
        </w:rPr>
        <w:t>adurez (Sección 4.4):</w:t>
      </w:r>
    </w:p>
    <w:p w14:paraId="4654DAB2" w14:textId="77777777" w:rsidR="00B8756C" w:rsidRDefault="00B8756C" w:rsidP="00B8756C">
      <w:pPr>
        <w:pStyle w:val="Prrafodelista"/>
        <w:numPr>
          <w:ilvl w:val="0"/>
          <w:numId w:val="19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Se aplicó el modelo a través de una encuesta en línea a 29 DBE de múltiples industrias. Esto permitió recopilar datos sobre la madurez de cada ecosistema desde múltiples perspectivas de profesionales de TI.</w:t>
      </w:r>
    </w:p>
    <w:p w14:paraId="4056C6E4" w14:textId="77777777" w:rsidR="00B8756C" w:rsidRDefault="00B8756C" w:rsidP="00B8756C">
      <w:pPr>
        <w:pStyle w:val="Prrafodelista"/>
        <w:numPr>
          <w:ilvl w:val="0"/>
          <w:numId w:val="19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La encuesta se diseñó utilizando el enfoque GQM (</w:t>
      </w:r>
      <w:proofErr w:type="spellStart"/>
      <w:r w:rsidRPr="00FC085C">
        <w:rPr>
          <w:rFonts w:ascii="Humanst521 BT" w:hAnsi="Humanst521 BT"/>
        </w:rPr>
        <w:t>Goal-Question-Metric</w:t>
      </w:r>
      <w:proofErr w:type="spellEnd"/>
      <w:r w:rsidRPr="00FC085C">
        <w:rPr>
          <w:rFonts w:ascii="Humanst521 BT" w:hAnsi="Humanst521 BT"/>
        </w:rPr>
        <w:t>), lo que facilitó la estructuración de las preguntas y la obtención de métricas significativas.</w:t>
      </w:r>
    </w:p>
    <w:p w14:paraId="5C18E5B4" w14:textId="77777777" w:rsidR="00B8756C" w:rsidRPr="00FC085C" w:rsidRDefault="00B8756C" w:rsidP="00B8756C">
      <w:pPr>
        <w:pStyle w:val="Prrafodelista"/>
        <w:spacing w:line="360" w:lineRule="auto"/>
        <w:jc w:val="both"/>
        <w:rPr>
          <w:rFonts w:ascii="Humanst521 BT" w:hAnsi="Humanst521 BT"/>
        </w:rPr>
      </w:pPr>
    </w:p>
    <w:p w14:paraId="4231122B" w14:textId="77777777" w:rsidR="00B8756C" w:rsidRPr="00FC085C" w:rsidRDefault="00B8756C" w:rsidP="00B8756C">
      <w:pPr>
        <w:spacing w:line="360" w:lineRule="auto"/>
        <w:ind w:left="1080"/>
        <w:jc w:val="both"/>
        <w:rPr>
          <w:rFonts w:ascii="Humanst521 BT" w:hAnsi="Humanst521 BT"/>
          <w:u w:val="single"/>
        </w:rPr>
      </w:pPr>
      <w:r w:rsidRPr="00FC085C">
        <w:rPr>
          <w:rFonts w:ascii="Humanst521 BT" w:hAnsi="Humanst521 BT"/>
          <w:u w:val="single"/>
        </w:rPr>
        <w:t xml:space="preserve">Evaluación del </w:t>
      </w:r>
      <w:r>
        <w:rPr>
          <w:rFonts w:ascii="Humanst521 BT" w:hAnsi="Humanst521 BT"/>
          <w:u w:val="single"/>
        </w:rPr>
        <w:t>m</w:t>
      </w:r>
      <w:r w:rsidRPr="00FC085C">
        <w:rPr>
          <w:rFonts w:ascii="Humanst521 BT" w:hAnsi="Humanst521 BT"/>
          <w:u w:val="single"/>
        </w:rPr>
        <w:t xml:space="preserve">odelo de </w:t>
      </w:r>
      <w:r>
        <w:rPr>
          <w:rFonts w:ascii="Humanst521 BT" w:hAnsi="Humanst521 BT"/>
          <w:u w:val="single"/>
        </w:rPr>
        <w:t>m</w:t>
      </w:r>
      <w:r w:rsidRPr="00FC085C">
        <w:rPr>
          <w:rFonts w:ascii="Humanst521 BT" w:hAnsi="Humanst521 BT"/>
          <w:u w:val="single"/>
        </w:rPr>
        <w:t>adurez (Sección 4.5):</w:t>
      </w:r>
    </w:p>
    <w:p w14:paraId="6F92C50C" w14:textId="77777777" w:rsidR="00B8756C" w:rsidRDefault="00B8756C" w:rsidP="00B8756C">
      <w:pPr>
        <w:pStyle w:val="Prrafodelista"/>
        <w:numPr>
          <w:ilvl w:val="0"/>
          <w:numId w:val="21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Se evaluó la efectividad del modelo mediante la comparación con otros 22 modelos de madurez existentes en campos relacionados.</w:t>
      </w:r>
    </w:p>
    <w:p w14:paraId="1283AE8C" w14:textId="4D043B28" w:rsidR="00B8756C" w:rsidRPr="00B8756C" w:rsidRDefault="00B8756C" w:rsidP="00B8756C">
      <w:pPr>
        <w:pStyle w:val="Prrafodelista"/>
        <w:numPr>
          <w:ilvl w:val="0"/>
          <w:numId w:val="21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Se utilizó una taxonomía de clasificación adaptada para analizar el diseño, la definición, la aplicación y la evaluación del modelo, asegurando que se cumplieran los requisitos establecidos.</w:t>
      </w:r>
    </w:p>
    <w:p w14:paraId="60CBDA71" w14:textId="77777777" w:rsidR="00B8756C" w:rsidRPr="00FC085C" w:rsidRDefault="00B8756C" w:rsidP="00B8756C">
      <w:pPr>
        <w:spacing w:line="360" w:lineRule="auto"/>
        <w:ind w:left="1080"/>
        <w:jc w:val="both"/>
        <w:rPr>
          <w:rFonts w:ascii="Humanst521 BT" w:hAnsi="Humanst521 BT"/>
          <w:u w:val="single"/>
        </w:rPr>
      </w:pPr>
      <w:r w:rsidRPr="00FC085C">
        <w:rPr>
          <w:rFonts w:ascii="Humanst521 BT" w:hAnsi="Humanst521 BT"/>
          <w:u w:val="single"/>
        </w:rPr>
        <w:t xml:space="preserve">Resultados y </w:t>
      </w:r>
      <w:r>
        <w:rPr>
          <w:rFonts w:ascii="Humanst521 BT" w:hAnsi="Humanst521 BT"/>
          <w:u w:val="single"/>
        </w:rPr>
        <w:t>c</w:t>
      </w:r>
      <w:r w:rsidRPr="00FC085C">
        <w:rPr>
          <w:rFonts w:ascii="Humanst521 BT" w:hAnsi="Humanst521 BT"/>
          <w:u w:val="single"/>
        </w:rPr>
        <w:t>onclusiones:</w:t>
      </w:r>
    </w:p>
    <w:p w14:paraId="078819FD" w14:textId="77777777" w:rsidR="00B8756C" w:rsidRDefault="00B8756C" w:rsidP="00B8756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El desarrollo del modelo de madurez se fundamentó en un enfoque riguroso que combina investigación teórica y práctica.</w:t>
      </w:r>
    </w:p>
    <w:p w14:paraId="0B59B8D5" w14:textId="77777777" w:rsidR="00B8756C" w:rsidRDefault="00B8756C" w:rsidP="00B8756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Humanst521 BT" w:hAnsi="Humanst521 BT"/>
        </w:rPr>
      </w:pPr>
      <w:r w:rsidRPr="00FC085C">
        <w:rPr>
          <w:rFonts w:ascii="Humanst521 BT" w:hAnsi="Humanst521 BT"/>
        </w:rPr>
        <w:t>Se concluyó que el modelo proporciona una herramienta valiosa para que las organizaciones evalúen su madurez en el contexto de los DBE y para identificar áreas de mejora.</w:t>
      </w:r>
    </w:p>
    <w:p w14:paraId="1ABE13EC" w14:textId="28DB81A9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Gráfico del modelo</w:t>
      </w:r>
    </w:p>
    <w:p w14:paraId="53D046DF" w14:textId="0BC10474" w:rsidR="004A5F5F" w:rsidRPr="00B8756C" w:rsidRDefault="00F54952" w:rsidP="00B8756C">
      <w:pPr>
        <w:pStyle w:val="Prrafodelista"/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N/A</w:t>
      </w:r>
    </w:p>
    <w:p w14:paraId="322C68B3" w14:textId="5EA145CF" w:rsidR="00CB5C3D" w:rsidRDefault="00CB5C3D" w:rsidP="009176CD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Humanst521 BT" w:hAnsi="Humanst521 BT"/>
          <w:b/>
          <w:bCs/>
        </w:rPr>
      </w:pPr>
      <w:r w:rsidRPr="00CB5C3D">
        <w:rPr>
          <w:rFonts w:ascii="Humanst521 BT" w:hAnsi="Humanst521 BT"/>
          <w:b/>
          <w:bCs/>
        </w:rPr>
        <w:t>Interpretación de los resultados</w:t>
      </w:r>
    </w:p>
    <w:p w14:paraId="70E14C3B" w14:textId="3598C277" w:rsidR="006B2F0D" w:rsidRDefault="006B2F0D" w:rsidP="006B2F0D">
      <w:pPr>
        <w:pStyle w:val="Prrafodelista"/>
        <w:spacing w:line="360" w:lineRule="auto"/>
        <w:jc w:val="both"/>
        <w:rPr>
          <w:rFonts w:ascii="Humanst521 BT" w:hAnsi="Humanst521 BT"/>
          <w:b/>
          <w:bCs/>
        </w:rPr>
      </w:pPr>
      <w:r w:rsidRPr="006B2F0D">
        <w:rPr>
          <w:rFonts w:ascii="Humanst521 BT" w:hAnsi="Humanst521 BT"/>
          <w:b/>
          <w:bCs/>
          <w:noProof/>
        </w:rPr>
        <w:lastRenderedPageBreak/>
        <w:drawing>
          <wp:inline distT="0" distB="0" distL="0" distR="0" wp14:anchorId="40691B35" wp14:editId="1B45A124">
            <wp:extent cx="4448796" cy="2915057"/>
            <wp:effectExtent l="0" t="0" r="9525" b="0"/>
            <wp:docPr id="19979561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95611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796" cy="291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12371" w14:textId="3320EBDE" w:rsidR="006B2F0D" w:rsidRDefault="006B2F0D" w:rsidP="006B2F0D">
      <w:pPr>
        <w:pStyle w:val="Prrafodelista"/>
        <w:spacing w:line="360" w:lineRule="auto"/>
        <w:jc w:val="both"/>
        <w:rPr>
          <w:rFonts w:ascii="Humanst521 BT" w:hAnsi="Humanst521 BT"/>
          <w:u w:val="single"/>
        </w:rPr>
      </w:pPr>
      <w:r w:rsidRPr="006B2F0D">
        <w:rPr>
          <w:rFonts w:ascii="Humanst521 BT" w:hAnsi="Humanst521 BT"/>
          <w:u w:val="single"/>
        </w:rPr>
        <w:t>Transparencia</w:t>
      </w:r>
    </w:p>
    <w:p w14:paraId="64D4318D" w14:textId="77777777" w:rsidR="009F57EB" w:rsidRDefault="009F57EB" w:rsidP="006B2F0D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07642759" w14:textId="77777777" w:rsidR="00A11335" w:rsidRDefault="009F57EB" w:rsidP="009F57EB">
      <w:pPr>
        <w:pStyle w:val="Prrafodelista"/>
        <w:numPr>
          <w:ilvl w:val="0"/>
          <w:numId w:val="3"/>
        </w:numPr>
        <w:spacing w:line="360" w:lineRule="auto"/>
        <w:ind w:left="1134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>(Nivel 1) El nivel inicial describe una DBE donde las empresas sólo tienen una transparencia irregular.</w:t>
      </w:r>
    </w:p>
    <w:p w14:paraId="6B567C5C" w14:textId="77777777" w:rsidR="00A11335" w:rsidRDefault="009F57EB" w:rsidP="009F57EB">
      <w:pPr>
        <w:pStyle w:val="Prrafodelista"/>
        <w:numPr>
          <w:ilvl w:val="0"/>
          <w:numId w:val="3"/>
        </w:numPr>
        <w:spacing w:line="360" w:lineRule="auto"/>
        <w:ind w:left="1134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(Nivel 2) Las empresas reciben transparencia solo en ciertas partes de un DBE, que son necesarias para los siguientes pasos de implementación táctica. </w:t>
      </w:r>
    </w:p>
    <w:p w14:paraId="35765F72" w14:textId="08C792C6" w:rsidR="00A11335" w:rsidRDefault="009F57EB" w:rsidP="009F57EB">
      <w:pPr>
        <w:pStyle w:val="Prrafodelista"/>
        <w:numPr>
          <w:ilvl w:val="0"/>
          <w:numId w:val="3"/>
        </w:numPr>
        <w:spacing w:line="360" w:lineRule="auto"/>
        <w:ind w:left="1134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>(Nivel 3) Se coordina la transparencia dentro del DBE.</w:t>
      </w:r>
    </w:p>
    <w:p w14:paraId="5D55E645" w14:textId="77777777" w:rsidR="00DA39E1" w:rsidRDefault="009F57EB" w:rsidP="009F57EB">
      <w:pPr>
        <w:pStyle w:val="Prrafodelista"/>
        <w:numPr>
          <w:ilvl w:val="0"/>
          <w:numId w:val="3"/>
        </w:numPr>
        <w:spacing w:line="360" w:lineRule="auto"/>
        <w:ind w:left="1134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>(Nivel 4) Se establece la supervisión de las partes operativas del DBE.</w:t>
      </w:r>
    </w:p>
    <w:p w14:paraId="31E5B93F" w14:textId="1BA67EA9" w:rsidR="00167D80" w:rsidRDefault="009F57EB" w:rsidP="009F57EB">
      <w:pPr>
        <w:pStyle w:val="Prrafodelista"/>
        <w:numPr>
          <w:ilvl w:val="0"/>
          <w:numId w:val="3"/>
        </w:numPr>
        <w:spacing w:line="360" w:lineRule="auto"/>
        <w:ind w:left="1134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>(Nivel 5) Se da transparencia sobre las diferentes partes estratégicas del DBE.</w:t>
      </w:r>
    </w:p>
    <w:p w14:paraId="519BB3B0" w14:textId="0C960006" w:rsidR="00DA39E1" w:rsidRDefault="00DA39E1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r w:rsidRPr="00DA39E1">
        <w:rPr>
          <w:rFonts w:ascii="Humanst521 BT" w:hAnsi="Humanst521 BT"/>
        </w:rPr>
        <w:t xml:space="preserve"> </w:t>
      </w:r>
      <w:proofErr w:type="spellStart"/>
      <w:r>
        <w:rPr>
          <w:rFonts w:ascii="Humanst521 BT" w:hAnsi="Humanst521 BT"/>
          <w:u w:val="single"/>
        </w:rPr>
        <w:t>Gobernancia</w:t>
      </w:r>
      <w:proofErr w:type="spellEnd"/>
    </w:p>
    <w:p w14:paraId="433A24E7" w14:textId="6325EF3B" w:rsidR="00B06A5E" w:rsidRP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1DD9D1BA" w14:textId="77777777" w:rsidR="00C40427" w:rsidRDefault="00C40427" w:rsidP="00C40427">
      <w:pPr>
        <w:pStyle w:val="Prrafodelista"/>
        <w:numPr>
          <w:ilvl w:val="0"/>
          <w:numId w:val="4"/>
        </w:numPr>
        <w:spacing w:line="360" w:lineRule="auto"/>
        <w:ind w:left="1276" w:hanging="425"/>
        <w:jc w:val="both"/>
        <w:rPr>
          <w:rFonts w:ascii="Humanst521 BT" w:hAnsi="Humanst521 BT"/>
        </w:rPr>
      </w:pPr>
      <w:r w:rsidRPr="00C40427">
        <w:rPr>
          <w:rFonts w:ascii="Humanst521 BT" w:hAnsi="Humanst521 BT"/>
        </w:rPr>
        <w:t>(Nivel 1) La funcionalidad de gobernanza se encuentra en un nivel inconsistente.</w:t>
      </w:r>
    </w:p>
    <w:p w14:paraId="523BAE68" w14:textId="77777777" w:rsidR="00C40427" w:rsidRDefault="00C40427" w:rsidP="00C40427">
      <w:pPr>
        <w:pStyle w:val="Prrafodelista"/>
        <w:numPr>
          <w:ilvl w:val="0"/>
          <w:numId w:val="4"/>
        </w:numPr>
        <w:spacing w:line="360" w:lineRule="auto"/>
        <w:ind w:left="1276" w:hanging="425"/>
        <w:jc w:val="both"/>
        <w:rPr>
          <w:rFonts w:ascii="Humanst521 BT" w:hAnsi="Humanst521 BT"/>
        </w:rPr>
      </w:pPr>
      <w:r w:rsidRPr="00C40427">
        <w:rPr>
          <w:rFonts w:ascii="Humanst521 BT" w:hAnsi="Humanst521 BT"/>
        </w:rPr>
        <w:t>(Nivel 2) La funcionalidad de gobernanza consiste principalmente en gestionar personas</w:t>
      </w:r>
      <w:r>
        <w:rPr>
          <w:rFonts w:ascii="Humanst521 BT" w:hAnsi="Humanst521 BT"/>
        </w:rPr>
        <w:t>.</w:t>
      </w:r>
    </w:p>
    <w:p w14:paraId="2D1166D2" w14:textId="77777777" w:rsidR="00C40427" w:rsidRDefault="00C40427" w:rsidP="00C40427">
      <w:pPr>
        <w:pStyle w:val="Prrafodelista"/>
        <w:numPr>
          <w:ilvl w:val="0"/>
          <w:numId w:val="4"/>
        </w:numPr>
        <w:spacing w:line="360" w:lineRule="auto"/>
        <w:ind w:left="1276" w:hanging="425"/>
        <w:jc w:val="both"/>
        <w:rPr>
          <w:rFonts w:ascii="Humanst521 BT" w:hAnsi="Humanst521 BT"/>
        </w:rPr>
      </w:pPr>
      <w:r w:rsidRPr="00C40427">
        <w:rPr>
          <w:rFonts w:ascii="Humanst521 BT" w:hAnsi="Humanst521 BT"/>
        </w:rPr>
        <w:t>(Nivel 3) La funcionalidad de gobernanza es la gestión de competencias dentro del DBE.</w:t>
      </w:r>
    </w:p>
    <w:p w14:paraId="298182A4" w14:textId="77777777" w:rsidR="00B06A5E" w:rsidRDefault="00C40427" w:rsidP="00C40427">
      <w:pPr>
        <w:pStyle w:val="Prrafodelista"/>
        <w:numPr>
          <w:ilvl w:val="0"/>
          <w:numId w:val="4"/>
        </w:numPr>
        <w:spacing w:line="360" w:lineRule="auto"/>
        <w:ind w:left="1276" w:hanging="425"/>
        <w:jc w:val="both"/>
        <w:rPr>
          <w:rFonts w:ascii="Humanst521 BT" w:hAnsi="Humanst521 BT"/>
        </w:rPr>
      </w:pPr>
      <w:r w:rsidRPr="00C40427">
        <w:rPr>
          <w:rFonts w:ascii="Humanst521 BT" w:hAnsi="Humanst521 BT"/>
        </w:rPr>
        <w:t>(Nivel 4) La funcionalidad de gobernanza gestiona las capacidades de DBE.</w:t>
      </w:r>
    </w:p>
    <w:p w14:paraId="226C49A2" w14:textId="036DE1F1" w:rsidR="00C40427" w:rsidRPr="00C40427" w:rsidRDefault="00C40427" w:rsidP="00C40427">
      <w:pPr>
        <w:pStyle w:val="Prrafodelista"/>
        <w:numPr>
          <w:ilvl w:val="0"/>
          <w:numId w:val="4"/>
        </w:numPr>
        <w:spacing w:line="360" w:lineRule="auto"/>
        <w:ind w:left="1276" w:hanging="425"/>
        <w:jc w:val="both"/>
        <w:rPr>
          <w:rFonts w:ascii="Humanst521 BT" w:hAnsi="Humanst521 BT"/>
        </w:rPr>
      </w:pPr>
      <w:r w:rsidRPr="00C40427">
        <w:rPr>
          <w:rFonts w:ascii="Humanst521 BT" w:hAnsi="Humanst521 BT"/>
        </w:rPr>
        <w:t>(Nivel 5) La funcionalidad de gobernanza gestiona los cambios de DBE</w:t>
      </w:r>
    </w:p>
    <w:p w14:paraId="13F72F2E" w14:textId="161FE4D9" w:rsidR="00DA39E1" w:rsidRDefault="00EF3875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proofErr w:type="spellStart"/>
      <w:r>
        <w:rPr>
          <w:rFonts w:ascii="Humanst521 BT" w:hAnsi="Humanst521 BT"/>
          <w:u w:val="single"/>
        </w:rPr>
        <w:t>Ampliabilidad</w:t>
      </w:r>
      <w:proofErr w:type="spellEnd"/>
    </w:p>
    <w:p w14:paraId="3BF8D116" w14:textId="77777777" w:rsid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lastRenderedPageBreak/>
        <w:t xml:space="preserve">Niveles de madurez: </w:t>
      </w:r>
    </w:p>
    <w:p w14:paraId="2811C0F9" w14:textId="77777777" w:rsidR="002B4D36" w:rsidRDefault="002B4D36" w:rsidP="002B4D36">
      <w:pPr>
        <w:pStyle w:val="Prrafodelista"/>
        <w:numPr>
          <w:ilvl w:val="0"/>
          <w:numId w:val="5"/>
        </w:numPr>
        <w:spacing w:line="360" w:lineRule="auto"/>
        <w:ind w:hanging="578"/>
        <w:jc w:val="both"/>
        <w:rPr>
          <w:rFonts w:ascii="Humanst521 BT" w:hAnsi="Humanst521 BT"/>
        </w:rPr>
      </w:pPr>
      <w:r w:rsidRPr="002B4D36">
        <w:rPr>
          <w:rFonts w:ascii="Humanst521 BT" w:hAnsi="Humanst521 BT"/>
        </w:rPr>
        <w:t>(Nivel 1) La conducción de las extensiones DBE es reactiva e impredecible.</w:t>
      </w:r>
    </w:p>
    <w:p w14:paraId="79523A34" w14:textId="77777777" w:rsidR="002B4D36" w:rsidRDefault="002B4D36" w:rsidP="002B4D36">
      <w:pPr>
        <w:pStyle w:val="Prrafodelista"/>
        <w:numPr>
          <w:ilvl w:val="0"/>
          <w:numId w:val="5"/>
        </w:numPr>
        <w:spacing w:line="360" w:lineRule="auto"/>
        <w:ind w:hanging="578"/>
        <w:jc w:val="both"/>
        <w:rPr>
          <w:rFonts w:ascii="Humanst521 BT" w:hAnsi="Humanst521 BT"/>
        </w:rPr>
      </w:pPr>
      <w:r w:rsidRPr="002B4D36">
        <w:rPr>
          <w:rFonts w:ascii="Humanst521 BT" w:hAnsi="Humanst521 BT"/>
        </w:rPr>
        <w:t>(Nivel 2) Las extensiones DBE se gestionan a nivel de proyecto.</w:t>
      </w:r>
    </w:p>
    <w:p w14:paraId="321683C1" w14:textId="77777777" w:rsidR="002B4D36" w:rsidRDefault="002B4D36" w:rsidP="002B4D36">
      <w:pPr>
        <w:pStyle w:val="Prrafodelista"/>
        <w:numPr>
          <w:ilvl w:val="0"/>
          <w:numId w:val="5"/>
        </w:numPr>
        <w:spacing w:line="360" w:lineRule="auto"/>
        <w:ind w:hanging="578"/>
        <w:jc w:val="both"/>
        <w:rPr>
          <w:rFonts w:ascii="Humanst521 BT" w:hAnsi="Humanst521 BT"/>
        </w:rPr>
      </w:pPr>
      <w:r w:rsidRPr="002B4D36">
        <w:rPr>
          <w:rFonts w:ascii="Humanst521 BT" w:hAnsi="Humanst521 BT"/>
        </w:rPr>
        <w:t>(Nivel 3) Las extensiones se llevan a cabo de manera proactiva en lugar de reactiva.</w:t>
      </w:r>
    </w:p>
    <w:p w14:paraId="0DE9A634" w14:textId="77777777" w:rsidR="002B4D36" w:rsidRDefault="002B4D36" w:rsidP="002B4D36">
      <w:pPr>
        <w:pStyle w:val="Prrafodelista"/>
        <w:numPr>
          <w:ilvl w:val="0"/>
          <w:numId w:val="5"/>
        </w:numPr>
        <w:spacing w:line="360" w:lineRule="auto"/>
        <w:ind w:hanging="578"/>
        <w:jc w:val="both"/>
        <w:rPr>
          <w:rFonts w:ascii="Humanst521 BT" w:hAnsi="Humanst521 BT"/>
        </w:rPr>
      </w:pPr>
      <w:r w:rsidRPr="002B4D36">
        <w:rPr>
          <w:rFonts w:ascii="Humanst521 BT" w:hAnsi="Humanst521 BT"/>
        </w:rPr>
        <w:t>(Nivel 4) Se miden y controlan las extensiones.</w:t>
      </w:r>
    </w:p>
    <w:p w14:paraId="25DCE858" w14:textId="4EED2337" w:rsidR="00B06A5E" w:rsidRPr="002B4D36" w:rsidRDefault="002B4D36" w:rsidP="002B4D36">
      <w:pPr>
        <w:pStyle w:val="Prrafodelista"/>
        <w:numPr>
          <w:ilvl w:val="0"/>
          <w:numId w:val="5"/>
        </w:numPr>
        <w:spacing w:line="360" w:lineRule="auto"/>
        <w:ind w:hanging="578"/>
        <w:jc w:val="both"/>
        <w:rPr>
          <w:rFonts w:ascii="Humanst521 BT" w:hAnsi="Humanst521 BT"/>
        </w:rPr>
      </w:pPr>
      <w:r w:rsidRPr="002B4D36">
        <w:rPr>
          <w:rFonts w:ascii="Humanst521 BT" w:hAnsi="Humanst521 BT"/>
        </w:rPr>
        <w:t>(Nivel 5) Las extensiones son estables y flexibles.</w:t>
      </w:r>
    </w:p>
    <w:p w14:paraId="3AA95C8A" w14:textId="7C551B08" w:rsidR="00EF3875" w:rsidRDefault="00EF3875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r>
        <w:rPr>
          <w:rFonts w:ascii="Humanst521 BT" w:hAnsi="Humanst521 BT"/>
          <w:u w:val="single"/>
        </w:rPr>
        <w:t>Seguridad cibernética</w:t>
      </w:r>
    </w:p>
    <w:p w14:paraId="25E74F7A" w14:textId="77777777" w:rsid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5D3B6161" w14:textId="77777777" w:rsidR="00C11CE4" w:rsidRPr="00C11CE4" w:rsidRDefault="00375D05" w:rsidP="00C11CE4">
      <w:pPr>
        <w:pStyle w:val="Prrafodelista"/>
        <w:numPr>
          <w:ilvl w:val="0"/>
          <w:numId w:val="9"/>
        </w:numPr>
        <w:spacing w:line="360" w:lineRule="auto"/>
        <w:ind w:hanging="578"/>
        <w:jc w:val="both"/>
        <w:rPr>
          <w:rFonts w:ascii="Humanst521 BT" w:hAnsi="Humanst521 BT"/>
          <w:u w:val="single"/>
        </w:rPr>
      </w:pPr>
      <w:r w:rsidRPr="00C11CE4">
        <w:rPr>
          <w:rFonts w:ascii="Humanst521 BT" w:hAnsi="Humanst521 BT"/>
        </w:rPr>
        <w:t>(Nivel 1) A pesar de los problemas existentes, no existen controles de seguridad y privacidad de datos.</w:t>
      </w:r>
    </w:p>
    <w:p w14:paraId="0C1A0EF3" w14:textId="77777777" w:rsidR="00C11CE4" w:rsidRDefault="00375D05" w:rsidP="00C11CE4">
      <w:pPr>
        <w:pStyle w:val="Prrafodelista"/>
        <w:numPr>
          <w:ilvl w:val="0"/>
          <w:numId w:val="9"/>
        </w:numPr>
        <w:spacing w:line="360" w:lineRule="auto"/>
        <w:ind w:hanging="578"/>
        <w:jc w:val="both"/>
        <w:rPr>
          <w:rFonts w:ascii="Humanst521 BT" w:hAnsi="Humanst521 BT"/>
          <w:u w:val="single"/>
        </w:rPr>
      </w:pPr>
      <w:r w:rsidRPr="00C11CE4">
        <w:rPr>
          <w:rFonts w:ascii="Humanst521 BT" w:hAnsi="Humanst521 BT"/>
        </w:rPr>
        <w:t>(Nivel 2) Algunos controles de seguridad y privacidad de datos están en desarrollo con documentación limitada</w:t>
      </w:r>
      <w:r w:rsidRPr="00C11CE4">
        <w:rPr>
          <w:rFonts w:ascii="Humanst521 BT" w:hAnsi="Humanst521 BT"/>
          <w:u w:val="single"/>
        </w:rPr>
        <w:t>.</w:t>
      </w:r>
    </w:p>
    <w:p w14:paraId="5839FEC5" w14:textId="77777777" w:rsidR="00C11CE4" w:rsidRPr="00C11CE4" w:rsidRDefault="00C11CE4" w:rsidP="00C11CE4">
      <w:pPr>
        <w:pStyle w:val="Prrafodelista"/>
        <w:numPr>
          <w:ilvl w:val="0"/>
          <w:numId w:val="9"/>
        </w:numPr>
        <w:spacing w:line="360" w:lineRule="auto"/>
        <w:ind w:hanging="578"/>
        <w:jc w:val="both"/>
        <w:rPr>
          <w:rFonts w:ascii="Humanst521 BT" w:hAnsi="Humanst521 BT"/>
          <w:u w:val="single"/>
        </w:rPr>
      </w:pPr>
      <w:r w:rsidRPr="00C11CE4">
        <w:rPr>
          <w:rFonts w:ascii="Humanst521 BT" w:hAnsi="Humanst521 BT"/>
        </w:rPr>
        <w:t>(Nivel 3) Se documentan y desarrollan más controles de seguridad y privacidad de datos para evitar problemas.</w:t>
      </w:r>
    </w:p>
    <w:p w14:paraId="5149B28F" w14:textId="77777777" w:rsidR="00C11CE4" w:rsidRPr="00C11CE4" w:rsidRDefault="00C11CE4" w:rsidP="00C11CE4">
      <w:pPr>
        <w:pStyle w:val="Prrafodelista"/>
        <w:numPr>
          <w:ilvl w:val="0"/>
          <w:numId w:val="9"/>
        </w:numPr>
        <w:spacing w:line="360" w:lineRule="auto"/>
        <w:ind w:hanging="578"/>
        <w:jc w:val="both"/>
        <w:rPr>
          <w:rFonts w:ascii="Humanst521 BT" w:hAnsi="Humanst521 BT"/>
          <w:u w:val="single"/>
        </w:rPr>
      </w:pPr>
      <w:r w:rsidRPr="00C11CE4">
        <w:rPr>
          <w:rFonts w:ascii="Humanst521 BT" w:hAnsi="Humanst521 BT"/>
        </w:rPr>
        <w:t xml:space="preserve">(Nivel 4) Se monitorean y miden los controles de seguridad y privacidad de datos. </w:t>
      </w:r>
    </w:p>
    <w:p w14:paraId="73C5971D" w14:textId="6578405A" w:rsidR="00C11CE4" w:rsidRPr="00C11CE4" w:rsidRDefault="00C11CE4" w:rsidP="00C11CE4">
      <w:pPr>
        <w:pStyle w:val="Prrafodelista"/>
        <w:numPr>
          <w:ilvl w:val="0"/>
          <w:numId w:val="9"/>
        </w:numPr>
        <w:spacing w:line="360" w:lineRule="auto"/>
        <w:ind w:hanging="578"/>
        <w:jc w:val="both"/>
        <w:rPr>
          <w:rFonts w:ascii="Humanst521 BT" w:hAnsi="Humanst521 BT"/>
          <w:u w:val="single"/>
        </w:rPr>
      </w:pPr>
      <w:r w:rsidRPr="00C11CE4">
        <w:rPr>
          <w:rFonts w:ascii="Humanst521 BT" w:hAnsi="Humanst521 BT"/>
        </w:rPr>
        <w:t>(Nivel 5) Los controles de seguridad y privacidad de datos están implementados y automatizados de manera integral.</w:t>
      </w:r>
    </w:p>
    <w:p w14:paraId="234AA0D2" w14:textId="0F20769D" w:rsidR="00EF3875" w:rsidRDefault="00EF3875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r>
        <w:rPr>
          <w:rFonts w:ascii="Humanst521 BT" w:hAnsi="Humanst521 BT"/>
          <w:u w:val="single"/>
        </w:rPr>
        <w:t>Base de conocimientos</w:t>
      </w:r>
    </w:p>
    <w:p w14:paraId="2F13EEF3" w14:textId="77777777" w:rsid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0978EAFB" w14:textId="77777777" w:rsidR="005D162E" w:rsidRDefault="005D162E" w:rsidP="005D162E">
      <w:pPr>
        <w:pStyle w:val="Prrafodelista"/>
        <w:numPr>
          <w:ilvl w:val="0"/>
          <w:numId w:val="10"/>
        </w:numPr>
        <w:spacing w:line="360" w:lineRule="auto"/>
        <w:ind w:hanging="589"/>
        <w:jc w:val="both"/>
        <w:rPr>
          <w:rFonts w:ascii="Humanst521 BT" w:hAnsi="Humanst521 BT"/>
        </w:rPr>
      </w:pPr>
      <w:r w:rsidRPr="005D162E">
        <w:rPr>
          <w:rFonts w:ascii="Humanst521 BT" w:hAnsi="Humanst521 BT"/>
        </w:rPr>
        <w:t>(Nivel 1) La base de conocimientos de DBE no está definida.</w:t>
      </w:r>
    </w:p>
    <w:p w14:paraId="050A4666" w14:textId="77777777" w:rsidR="005D162E" w:rsidRDefault="005D162E" w:rsidP="005D162E">
      <w:pPr>
        <w:pStyle w:val="Prrafodelista"/>
        <w:numPr>
          <w:ilvl w:val="0"/>
          <w:numId w:val="10"/>
        </w:numPr>
        <w:spacing w:line="360" w:lineRule="auto"/>
        <w:ind w:hanging="589"/>
        <w:jc w:val="both"/>
        <w:rPr>
          <w:rFonts w:ascii="Humanst521 BT" w:hAnsi="Humanst521 BT"/>
        </w:rPr>
      </w:pPr>
      <w:r w:rsidRPr="005D162E">
        <w:rPr>
          <w:rFonts w:ascii="Humanst521 BT" w:hAnsi="Humanst521 BT"/>
        </w:rPr>
        <w:t xml:space="preserve">(Nivel 2) La base de conocimientos de DBE se establece pero se mantiene sólo de forma básica. </w:t>
      </w:r>
    </w:p>
    <w:p w14:paraId="53136F70" w14:textId="77777777" w:rsidR="00A5408D" w:rsidRDefault="005D162E" w:rsidP="005D162E">
      <w:pPr>
        <w:pStyle w:val="Prrafodelista"/>
        <w:numPr>
          <w:ilvl w:val="0"/>
          <w:numId w:val="10"/>
        </w:numPr>
        <w:spacing w:line="360" w:lineRule="auto"/>
        <w:ind w:hanging="589"/>
        <w:jc w:val="both"/>
        <w:rPr>
          <w:rFonts w:ascii="Humanst521 BT" w:hAnsi="Humanst521 BT"/>
        </w:rPr>
      </w:pPr>
      <w:r w:rsidRPr="005D162E">
        <w:rPr>
          <w:rFonts w:ascii="Humanst521 BT" w:hAnsi="Humanst521 BT"/>
        </w:rPr>
        <w:t>(Nivel 3) La base de conocimientos alcanza un nivel de especialización y se utiliza para la toma de decisiones.</w:t>
      </w:r>
    </w:p>
    <w:p w14:paraId="5066DECF" w14:textId="77777777" w:rsidR="00A5408D" w:rsidRDefault="005D162E" w:rsidP="005D162E">
      <w:pPr>
        <w:pStyle w:val="Prrafodelista"/>
        <w:numPr>
          <w:ilvl w:val="0"/>
          <w:numId w:val="10"/>
        </w:numPr>
        <w:spacing w:line="360" w:lineRule="auto"/>
        <w:ind w:hanging="589"/>
        <w:jc w:val="both"/>
        <w:rPr>
          <w:rFonts w:ascii="Humanst521 BT" w:hAnsi="Humanst521 BT"/>
        </w:rPr>
      </w:pPr>
      <w:r w:rsidRPr="005D162E">
        <w:rPr>
          <w:rFonts w:ascii="Humanst521 BT" w:hAnsi="Humanst521 BT"/>
        </w:rPr>
        <w:t>(Nivel 4) La base de conocimientos se utiliza para la toma de decisiones cuantitativas.</w:t>
      </w:r>
    </w:p>
    <w:p w14:paraId="4A9AC8BE" w14:textId="74BC6DBA" w:rsidR="00B06A5E" w:rsidRPr="00A5408D" w:rsidRDefault="005D162E" w:rsidP="00A5408D">
      <w:pPr>
        <w:pStyle w:val="Prrafodelista"/>
        <w:numPr>
          <w:ilvl w:val="0"/>
          <w:numId w:val="10"/>
        </w:numPr>
        <w:spacing w:line="360" w:lineRule="auto"/>
        <w:ind w:hanging="589"/>
        <w:jc w:val="both"/>
        <w:rPr>
          <w:rFonts w:ascii="Humanst521 BT" w:hAnsi="Humanst521 BT"/>
        </w:rPr>
      </w:pPr>
      <w:r w:rsidRPr="005D162E">
        <w:rPr>
          <w:rFonts w:ascii="Humanst521 BT" w:hAnsi="Humanst521 BT"/>
        </w:rPr>
        <w:t>(Nivel 5) La base de conocimientos se utiliza como plataforma para compartir y permite una toma de decisiones confiable</w:t>
      </w:r>
    </w:p>
    <w:p w14:paraId="37E7FDA0" w14:textId="4CAA7736" w:rsidR="00EF3875" w:rsidRDefault="00EF3875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proofErr w:type="spellStart"/>
      <w:r>
        <w:rPr>
          <w:rFonts w:ascii="Humanst521 BT" w:hAnsi="Humanst521 BT"/>
          <w:u w:val="single"/>
        </w:rPr>
        <w:t>Reutilizabilidad</w:t>
      </w:r>
      <w:proofErr w:type="spellEnd"/>
    </w:p>
    <w:p w14:paraId="7DCD4473" w14:textId="77777777" w:rsid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7C97C4AF" w14:textId="77777777" w:rsidR="00944F87" w:rsidRDefault="00944F87" w:rsidP="00944F87">
      <w:pPr>
        <w:pStyle w:val="Prrafodelista"/>
        <w:numPr>
          <w:ilvl w:val="0"/>
          <w:numId w:val="11"/>
        </w:numPr>
        <w:spacing w:line="360" w:lineRule="auto"/>
        <w:ind w:hanging="589"/>
        <w:jc w:val="both"/>
        <w:rPr>
          <w:rFonts w:ascii="Humanst521 BT" w:hAnsi="Humanst521 BT"/>
        </w:rPr>
      </w:pPr>
      <w:r w:rsidRPr="00944F87">
        <w:rPr>
          <w:rFonts w:ascii="Humanst521 BT" w:hAnsi="Humanst521 BT"/>
        </w:rPr>
        <w:t>(Nivel 1) La reutilización sólo es posible en casos excepcionales.</w:t>
      </w:r>
    </w:p>
    <w:p w14:paraId="7B75F90D" w14:textId="77777777" w:rsidR="00944F87" w:rsidRDefault="00944F87" w:rsidP="00944F87">
      <w:pPr>
        <w:pStyle w:val="Prrafodelista"/>
        <w:numPr>
          <w:ilvl w:val="0"/>
          <w:numId w:val="11"/>
        </w:numPr>
        <w:spacing w:line="360" w:lineRule="auto"/>
        <w:ind w:hanging="589"/>
        <w:jc w:val="both"/>
        <w:rPr>
          <w:rFonts w:ascii="Humanst521 BT" w:hAnsi="Humanst521 BT"/>
        </w:rPr>
      </w:pPr>
      <w:r w:rsidRPr="00944F87">
        <w:rPr>
          <w:rFonts w:ascii="Humanst521 BT" w:hAnsi="Humanst521 BT"/>
        </w:rPr>
        <w:lastRenderedPageBreak/>
        <w:t>(Nivel 2) Se fomenta la reutilización.</w:t>
      </w:r>
    </w:p>
    <w:p w14:paraId="1A7F9826" w14:textId="77777777" w:rsidR="00E35A79" w:rsidRDefault="00944F87" w:rsidP="00944F87">
      <w:pPr>
        <w:pStyle w:val="Prrafodelista"/>
        <w:numPr>
          <w:ilvl w:val="0"/>
          <w:numId w:val="11"/>
        </w:numPr>
        <w:spacing w:line="360" w:lineRule="auto"/>
        <w:ind w:hanging="589"/>
        <w:jc w:val="both"/>
        <w:rPr>
          <w:rFonts w:ascii="Humanst521 BT" w:hAnsi="Humanst521 BT"/>
        </w:rPr>
      </w:pPr>
      <w:r w:rsidRPr="00944F87">
        <w:rPr>
          <w:rFonts w:ascii="Humanst521 BT" w:hAnsi="Humanst521 BT"/>
        </w:rPr>
        <w:t xml:space="preserve">(Nivel 3) Se incentiva y premia la reutilización. </w:t>
      </w:r>
    </w:p>
    <w:p w14:paraId="10985EB3" w14:textId="77777777" w:rsidR="00E35A79" w:rsidRDefault="00944F87" w:rsidP="00944F87">
      <w:pPr>
        <w:pStyle w:val="Prrafodelista"/>
        <w:numPr>
          <w:ilvl w:val="0"/>
          <w:numId w:val="11"/>
        </w:numPr>
        <w:spacing w:line="360" w:lineRule="auto"/>
        <w:ind w:hanging="589"/>
        <w:jc w:val="both"/>
        <w:rPr>
          <w:rFonts w:ascii="Humanst521 BT" w:hAnsi="Humanst521 BT"/>
        </w:rPr>
      </w:pPr>
      <w:r w:rsidRPr="00944F87">
        <w:rPr>
          <w:rFonts w:ascii="Humanst521 BT" w:hAnsi="Humanst521 BT"/>
        </w:rPr>
        <w:t>(Nivel 4) Se adoctrina la reutilización.</w:t>
      </w:r>
    </w:p>
    <w:p w14:paraId="714EF9AD" w14:textId="1A5B6895" w:rsidR="00B06A5E" w:rsidRPr="00E35A79" w:rsidRDefault="00944F87" w:rsidP="00E35A79">
      <w:pPr>
        <w:pStyle w:val="Prrafodelista"/>
        <w:numPr>
          <w:ilvl w:val="0"/>
          <w:numId w:val="11"/>
        </w:numPr>
        <w:spacing w:line="360" w:lineRule="auto"/>
        <w:ind w:hanging="589"/>
        <w:jc w:val="both"/>
        <w:rPr>
          <w:rFonts w:ascii="Humanst521 BT" w:hAnsi="Humanst521 BT"/>
        </w:rPr>
      </w:pPr>
      <w:r w:rsidRPr="00944F87">
        <w:rPr>
          <w:rFonts w:ascii="Humanst521 BT" w:hAnsi="Humanst521 BT"/>
        </w:rPr>
        <w:t>(Nivel 5) La reutilización se percibe como la forma en que el DBE hace negocios.</w:t>
      </w:r>
    </w:p>
    <w:p w14:paraId="60102EBF" w14:textId="7F4D5C56" w:rsidR="00EF3875" w:rsidRDefault="00EF3875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  <w:r>
        <w:rPr>
          <w:rFonts w:ascii="Humanst521 BT" w:hAnsi="Humanst521 BT"/>
          <w:u w:val="single"/>
        </w:rPr>
        <w:t>Estandarización</w:t>
      </w:r>
    </w:p>
    <w:p w14:paraId="2BAEB19A" w14:textId="77777777" w:rsidR="00B06A5E" w:rsidRDefault="00B06A5E" w:rsidP="00B06A5E">
      <w:pPr>
        <w:pStyle w:val="Prrafodelista"/>
        <w:spacing w:line="360" w:lineRule="auto"/>
        <w:jc w:val="both"/>
        <w:rPr>
          <w:rFonts w:ascii="Humanst521 BT" w:hAnsi="Humanst521 BT"/>
        </w:rPr>
      </w:pPr>
      <w:r w:rsidRPr="009F57EB">
        <w:rPr>
          <w:rFonts w:ascii="Humanst521 BT" w:hAnsi="Humanst521 BT"/>
        </w:rPr>
        <w:t xml:space="preserve">Niveles de madurez: </w:t>
      </w:r>
    </w:p>
    <w:p w14:paraId="7A7D7EFE" w14:textId="77777777" w:rsidR="00E35A79" w:rsidRDefault="00E35A79" w:rsidP="00E35A79">
      <w:pPr>
        <w:pStyle w:val="Prrafodelista"/>
        <w:numPr>
          <w:ilvl w:val="0"/>
          <w:numId w:val="12"/>
        </w:numPr>
        <w:spacing w:line="360" w:lineRule="auto"/>
        <w:ind w:hanging="589"/>
        <w:jc w:val="both"/>
        <w:rPr>
          <w:rFonts w:ascii="Humanst521 BT" w:hAnsi="Humanst521 BT"/>
        </w:rPr>
      </w:pPr>
      <w:r w:rsidRPr="00E35A79">
        <w:rPr>
          <w:rFonts w:ascii="Humanst521 BT" w:hAnsi="Humanst521 BT"/>
        </w:rPr>
        <w:t>(Nivel 1) La estandarización se encuentra en una etapa temprana ya que las empresas utilizan sus soluciones patentadas.</w:t>
      </w:r>
    </w:p>
    <w:p w14:paraId="437226C1" w14:textId="77777777" w:rsidR="00E35A79" w:rsidRDefault="00E35A79" w:rsidP="00E35A79">
      <w:pPr>
        <w:pStyle w:val="Prrafodelista"/>
        <w:numPr>
          <w:ilvl w:val="0"/>
          <w:numId w:val="12"/>
        </w:numPr>
        <w:spacing w:line="360" w:lineRule="auto"/>
        <w:ind w:hanging="589"/>
        <w:jc w:val="both"/>
        <w:rPr>
          <w:rFonts w:ascii="Humanst521 BT" w:hAnsi="Humanst521 BT"/>
        </w:rPr>
      </w:pPr>
      <w:r w:rsidRPr="00E35A79">
        <w:rPr>
          <w:rFonts w:ascii="Humanst521 BT" w:hAnsi="Humanst521 BT"/>
        </w:rPr>
        <w:t>(Nivel 2) La estandarización es construir bases comunes.</w:t>
      </w:r>
    </w:p>
    <w:p w14:paraId="097BD95A" w14:textId="77777777" w:rsidR="00E35A79" w:rsidRDefault="00E35A79" w:rsidP="00E35A79">
      <w:pPr>
        <w:pStyle w:val="Prrafodelista"/>
        <w:numPr>
          <w:ilvl w:val="0"/>
          <w:numId w:val="12"/>
        </w:numPr>
        <w:spacing w:line="360" w:lineRule="auto"/>
        <w:ind w:hanging="589"/>
        <w:jc w:val="both"/>
        <w:rPr>
          <w:rFonts w:ascii="Humanst521 BT" w:hAnsi="Humanst521 BT"/>
        </w:rPr>
      </w:pPr>
      <w:r w:rsidRPr="00E35A79">
        <w:rPr>
          <w:rFonts w:ascii="Humanst521 BT" w:hAnsi="Humanst521 BT"/>
        </w:rPr>
        <w:t>(Nivel 3) La estandarización está comenzando a diseñar soluciones futuras de manera conjunta</w:t>
      </w:r>
      <w:r>
        <w:rPr>
          <w:rFonts w:ascii="Humanst521 BT" w:hAnsi="Humanst521 BT"/>
        </w:rPr>
        <w:t>.</w:t>
      </w:r>
    </w:p>
    <w:p w14:paraId="5AD6BDB1" w14:textId="77777777" w:rsidR="00E35A79" w:rsidRDefault="00E35A79" w:rsidP="00E35A79">
      <w:pPr>
        <w:pStyle w:val="Prrafodelista"/>
        <w:numPr>
          <w:ilvl w:val="0"/>
          <w:numId w:val="12"/>
        </w:numPr>
        <w:spacing w:line="360" w:lineRule="auto"/>
        <w:ind w:hanging="589"/>
        <w:jc w:val="both"/>
        <w:rPr>
          <w:rFonts w:ascii="Humanst521 BT" w:hAnsi="Humanst521 BT"/>
        </w:rPr>
      </w:pPr>
      <w:r w:rsidRPr="00E35A79">
        <w:rPr>
          <w:rFonts w:ascii="Humanst521 BT" w:hAnsi="Humanst521 BT"/>
        </w:rPr>
        <w:t>(Nivel 4) Una estandarización comprende la implementación de planos diseñados conjuntamente.</w:t>
      </w:r>
    </w:p>
    <w:p w14:paraId="71150C3A" w14:textId="21D09AFE" w:rsidR="00E35A79" w:rsidRDefault="00E35A79" w:rsidP="00E35A79">
      <w:pPr>
        <w:pStyle w:val="Prrafodelista"/>
        <w:numPr>
          <w:ilvl w:val="0"/>
          <w:numId w:val="12"/>
        </w:numPr>
        <w:spacing w:line="360" w:lineRule="auto"/>
        <w:ind w:hanging="589"/>
        <w:jc w:val="both"/>
        <w:rPr>
          <w:rFonts w:ascii="Humanst521 BT" w:hAnsi="Humanst521 BT"/>
        </w:rPr>
      </w:pPr>
      <w:r w:rsidRPr="00E35A79">
        <w:rPr>
          <w:rFonts w:ascii="Humanst521 BT" w:hAnsi="Humanst521 BT"/>
        </w:rPr>
        <w:t>(Nivel 5) La estandarización consiste en implementar plantillas predefinidas.</w:t>
      </w:r>
    </w:p>
    <w:p w14:paraId="528F47B4" w14:textId="4C0C822A" w:rsidR="00B8756C" w:rsidRPr="00B8756C" w:rsidRDefault="00B8756C" w:rsidP="00B8756C">
      <w:pPr>
        <w:spacing w:line="360" w:lineRule="auto"/>
        <w:jc w:val="both"/>
        <w:rPr>
          <w:rFonts w:ascii="Humanst521 BT" w:hAnsi="Humanst521 BT"/>
        </w:rPr>
      </w:pPr>
      <w:r w:rsidRPr="00B8756C">
        <w:rPr>
          <w:rFonts w:ascii="Humanst521 BT" w:hAnsi="Humanst521 BT"/>
        </w:rPr>
        <w:t>1</w:t>
      </w:r>
      <w:r w:rsidR="00104353">
        <w:rPr>
          <w:rFonts w:ascii="Humanst521 BT" w:hAnsi="Humanst521 BT"/>
        </w:rPr>
        <w:t>0</w:t>
      </w:r>
      <w:r w:rsidRPr="00B8756C">
        <w:rPr>
          <w:rFonts w:ascii="Humanst521 BT" w:hAnsi="Humanst521 BT"/>
          <w:b/>
          <w:bCs/>
        </w:rPr>
        <w:t>. Forma de recolección de la información</w:t>
      </w:r>
      <w:r w:rsidRPr="00B8756C">
        <w:rPr>
          <w:rFonts w:ascii="Humanst521 BT" w:hAnsi="Humanst521 BT"/>
        </w:rPr>
        <w:t xml:space="preserve"> </w:t>
      </w:r>
    </w:p>
    <w:p w14:paraId="334E752D" w14:textId="77777777" w:rsidR="002D6074" w:rsidRDefault="00B8756C" w:rsidP="00B8756C">
      <w:pPr>
        <w:spacing w:line="360" w:lineRule="auto"/>
        <w:jc w:val="both"/>
        <w:rPr>
          <w:rFonts w:ascii="Humanst521 BT" w:hAnsi="Humanst521 BT"/>
        </w:rPr>
      </w:pPr>
      <w:r w:rsidRPr="00B8756C">
        <w:rPr>
          <w:rFonts w:ascii="Humanst521 BT" w:hAnsi="Humanst521 BT"/>
        </w:rPr>
        <w:t>La implementación del modelo en empresas se realizó de forma</w:t>
      </w:r>
      <w:r w:rsidR="002D6074">
        <w:rPr>
          <w:rFonts w:ascii="Humanst521 BT" w:hAnsi="Humanst521 BT"/>
        </w:rPr>
        <w:t xml:space="preserve"> mixta:</w:t>
      </w:r>
    </w:p>
    <w:p w14:paraId="44FB212D" w14:textId="4636155B" w:rsidR="00641FC4" w:rsidRDefault="00641FC4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Método cualitativo</w:t>
      </w:r>
      <w:r w:rsidR="00F71239">
        <w:rPr>
          <w:rFonts w:ascii="Humanst521 BT" w:hAnsi="Humanst521 BT"/>
        </w:rPr>
        <w:t xml:space="preserve"> DESARROLLO modelo</w:t>
      </w:r>
      <w:r>
        <w:rPr>
          <w:rFonts w:ascii="Humanst521 BT" w:hAnsi="Humanst521 BT"/>
        </w:rPr>
        <w:t>:</w:t>
      </w:r>
      <w:r w:rsidR="00F71239">
        <w:rPr>
          <w:rFonts w:ascii="Humanst521 BT" w:hAnsi="Humanst521 BT"/>
        </w:rPr>
        <w:t xml:space="preserve"> se desarrollo el modelo de madurez a partir de un análisis de publicaciones </w:t>
      </w:r>
      <w:r w:rsidR="00565F00">
        <w:rPr>
          <w:rFonts w:ascii="Humanst521 BT" w:hAnsi="Humanst521 BT"/>
        </w:rPr>
        <w:t xml:space="preserve">y entrevistas a expertos en el campo. </w:t>
      </w:r>
    </w:p>
    <w:p w14:paraId="5DBEB23C" w14:textId="7C4B1657" w:rsidR="00B8756C" w:rsidRDefault="00641FC4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Método cuantitativo:</w:t>
      </w:r>
      <w:r w:rsidR="00B8756C" w:rsidRPr="00B8756C">
        <w:rPr>
          <w:rFonts w:ascii="Humanst521 BT" w:hAnsi="Humanst521 BT"/>
        </w:rPr>
        <w:t xml:space="preserve"> </w:t>
      </w:r>
      <w:r w:rsidR="00C47BBF">
        <w:rPr>
          <w:rFonts w:ascii="Humanst521 BT" w:hAnsi="Humanst521 BT"/>
        </w:rPr>
        <w:t>se aplicó una encuesta en línea</w:t>
      </w:r>
      <w:r w:rsidR="00AE7D0F">
        <w:rPr>
          <w:rFonts w:ascii="Humanst521 BT" w:hAnsi="Humanst521 BT"/>
        </w:rPr>
        <w:t xml:space="preserve">, lo que permitió evaluar el </w:t>
      </w:r>
      <w:r w:rsidR="007D329A">
        <w:rPr>
          <w:rFonts w:ascii="Humanst521 BT" w:hAnsi="Humanst521 BT"/>
        </w:rPr>
        <w:t xml:space="preserve">nivel de madurez de las organizaciones </w:t>
      </w:r>
      <w:r w:rsidR="00104353">
        <w:rPr>
          <w:rFonts w:ascii="Humanst521 BT" w:hAnsi="Humanst521 BT"/>
        </w:rPr>
        <w:t>en relación con las dimensiones definidas.</w:t>
      </w:r>
    </w:p>
    <w:p w14:paraId="3A7F9A89" w14:textId="386A0D40" w:rsidR="00104353" w:rsidRDefault="00104353" w:rsidP="00B8756C">
      <w:pPr>
        <w:spacing w:line="360" w:lineRule="auto"/>
        <w:jc w:val="both"/>
        <w:rPr>
          <w:rFonts w:ascii="Humanst521 BT" w:hAnsi="Humanst521 BT"/>
          <w:b/>
          <w:bCs/>
        </w:rPr>
      </w:pPr>
      <w:r>
        <w:rPr>
          <w:rFonts w:ascii="Humanst521 BT" w:hAnsi="Humanst521 BT"/>
          <w:b/>
          <w:bCs/>
        </w:rPr>
        <w:t>11. Alcance de la evaluación del modelo en el artículo</w:t>
      </w:r>
    </w:p>
    <w:p w14:paraId="0D009264" w14:textId="1CB74D55" w:rsidR="00104353" w:rsidRDefault="00104353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 xml:space="preserve">Modelo </w:t>
      </w:r>
    </w:p>
    <w:p w14:paraId="0D0FF5FC" w14:textId="57454AFC" w:rsidR="00104353" w:rsidRDefault="00104353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Modelo e implementación</w:t>
      </w:r>
    </w:p>
    <w:p w14:paraId="62826E63" w14:textId="4ACE8FA8" w:rsidR="00104353" w:rsidRDefault="00104353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Modelo, implementación y testeo (ponderación de factores)</w:t>
      </w:r>
    </w:p>
    <w:p w14:paraId="08701F86" w14:textId="491F1829" w:rsidR="00104353" w:rsidRDefault="00104353" w:rsidP="00B8756C">
      <w:pPr>
        <w:spacing w:line="360" w:lineRule="auto"/>
        <w:jc w:val="both"/>
        <w:rPr>
          <w:rFonts w:ascii="Humanst521 BT" w:hAnsi="Humanst521 BT"/>
        </w:rPr>
      </w:pPr>
      <w:r>
        <w:rPr>
          <w:rFonts w:ascii="Humanst521 BT" w:hAnsi="Humanst521 BT"/>
        </w:rPr>
        <w:t>Modelo, implementación, testeo y evaluación</w:t>
      </w:r>
      <w:r w:rsidR="00475C45">
        <w:rPr>
          <w:rFonts w:ascii="Humanst521 BT" w:hAnsi="Humanst521 BT"/>
        </w:rPr>
        <w:t>: X</w:t>
      </w:r>
    </w:p>
    <w:p w14:paraId="09A5B34F" w14:textId="77777777" w:rsidR="00475C45" w:rsidRPr="00104353" w:rsidRDefault="00475C45" w:rsidP="00B8756C">
      <w:pPr>
        <w:spacing w:line="360" w:lineRule="auto"/>
        <w:jc w:val="both"/>
        <w:rPr>
          <w:rFonts w:ascii="Humanst521 BT" w:hAnsi="Humanst521 BT"/>
        </w:rPr>
      </w:pPr>
    </w:p>
    <w:p w14:paraId="3E328FA1" w14:textId="77777777" w:rsidR="00104353" w:rsidRPr="00B8756C" w:rsidRDefault="00104353" w:rsidP="00B8756C">
      <w:pPr>
        <w:spacing w:line="360" w:lineRule="auto"/>
        <w:jc w:val="both"/>
        <w:rPr>
          <w:rFonts w:ascii="Humanst521 BT" w:hAnsi="Humanst521 BT"/>
        </w:rPr>
      </w:pPr>
    </w:p>
    <w:p w14:paraId="2B201D0F" w14:textId="77777777" w:rsidR="00B8756C" w:rsidRPr="00B8756C" w:rsidRDefault="00B8756C" w:rsidP="00B8756C">
      <w:pPr>
        <w:spacing w:line="360" w:lineRule="auto"/>
        <w:jc w:val="both"/>
        <w:rPr>
          <w:rFonts w:ascii="Humanst521 BT" w:hAnsi="Humanst521 BT"/>
        </w:rPr>
      </w:pPr>
    </w:p>
    <w:p w14:paraId="15C46DA3" w14:textId="77777777" w:rsidR="00B06A5E" w:rsidRPr="00DA39E1" w:rsidRDefault="00B06A5E" w:rsidP="00DA39E1">
      <w:pPr>
        <w:spacing w:line="360" w:lineRule="auto"/>
        <w:ind w:left="709"/>
        <w:jc w:val="both"/>
        <w:rPr>
          <w:rFonts w:ascii="Humanst521 BT" w:hAnsi="Humanst521 BT"/>
          <w:u w:val="single"/>
        </w:rPr>
      </w:pPr>
    </w:p>
    <w:p w14:paraId="331243E6" w14:textId="5D4939CF" w:rsidR="00DA39E1" w:rsidRPr="00DA39E1" w:rsidRDefault="00DA39E1" w:rsidP="00DA39E1">
      <w:pPr>
        <w:spacing w:line="360" w:lineRule="auto"/>
        <w:jc w:val="both"/>
        <w:rPr>
          <w:rFonts w:ascii="Humanst521 BT" w:hAnsi="Humanst521 BT"/>
        </w:rPr>
      </w:pPr>
    </w:p>
    <w:sectPr w:rsidR="00DA39E1" w:rsidRPr="00DA39E1" w:rsidSect="00B06A5E">
      <w:pgSz w:w="12240" w:h="15840"/>
      <w:pgMar w:top="1417" w:right="175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E370A"/>
    <w:multiLevelType w:val="hybridMultilevel"/>
    <w:tmpl w:val="4C5E1322"/>
    <w:lvl w:ilvl="0" w:tplc="666E1F76">
      <w:numFmt w:val="bullet"/>
      <w:lvlText w:val="-"/>
      <w:lvlJc w:val="left"/>
      <w:pPr>
        <w:ind w:left="1778" w:hanging="360"/>
      </w:pPr>
      <w:rPr>
        <w:rFonts w:ascii="Humanst521 BT" w:eastAsiaTheme="minorHAnsi" w:hAnsi="Humanst521 BT" w:cstheme="minorBidi" w:hint="default"/>
        <w:u w:val="none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7A16FD"/>
    <w:multiLevelType w:val="hybridMultilevel"/>
    <w:tmpl w:val="4940A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1E4A"/>
    <w:multiLevelType w:val="hybridMultilevel"/>
    <w:tmpl w:val="518AA2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20F1"/>
    <w:multiLevelType w:val="hybridMultilevel"/>
    <w:tmpl w:val="0D641EE8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4C3C23"/>
    <w:multiLevelType w:val="hybridMultilevel"/>
    <w:tmpl w:val="97C60BA0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D76EBD"/>
    <w:multiLevelType w:val="hybridMultilevel"/>
    <w:tmpl w:val="3452A3C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8C4391"/>
    <w:multiLevelType w:val="hybridMultilevel"/>
    <w:tmpl w:val="362CC3E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767774"/>
    <w:multiLevelType w:val="hybridMultilevel"/>
    <w:tmpl w:val="4FDE5126"/>
    <w:lvl w:ilvl="0" w:tplc="666E1F76">
      <w:numFmt w:val="bullet"/>
      <w:lvlText w:val="-"/>
      <w:lvlJc w:val="left"/>
      <w:pPr>
        <w:ind w:left="1069" w:hanging="360"/>
      </w:pPr>
      <w:rPr>
        <w:rFonts w:ascii="Humanst521 BT" w:eastAsiaTheme="minorHAnsi" w:hAnsi="Humanst521 BT" w:cstheme="minorBidi" w:hint="default"/>
        <w:u w:val="none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A903293"/>
    <w:multiLevelType w:val="hybridMultilevel"/>
    <w:tmpl w:val="BFF6D646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7D640B"/>
    <w:multiLevelType w:val="hybridMultilevel"/>
    <w:tmpl w:val="9B5205C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360B66"/>
    <w:multiLevelType w:val="hybridMultilevel"/>
    <w:tmpl w:val="E03037A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E06B8E"/>
    <w:multiLevelType w:val="hybridMultilevel"/>
    <w:tmpl w:val="BE7E84AC"/>
    <w:lvl w:ilvl="0" w:tplc="F8184B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C3A47"/>
    <w:multiLevelType w:val="hybridMultilevel"/>
    <w:tmpl w:val="85322FC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D560E0"/>
    <w:multiLevelType w:val="hybridMultilevel"/>
    <w:tmpl w:val="87903492"/>
    <w:lvl w:ilvl="0" w:tplc="3326AFB2">
      <w:numFmt w:val="bullet"/>
      <w:lvlText w:val="-"/>
      <w:lvlJc w:val="left"/>
      <w:pPr>
        <w:ind w:left="1080" w:hanging="360"/>
      </w:pPr>
      <w:rPr>
        <w:rFonts w:ascii="Humanst521 BT" w:eastAsiaTheme="minorHAnsi" w:hAnsi="Humanst521 BT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C72747"/>
    <w:multiLevelType w:val="hybridMultilevel"/>
    <w:tmpl w:val="2752FD52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C9F08DC"/>
    <w:multiLevelType w:val="hybridMultilevel"/>
    <w:tmpl w:val="0C64CDB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4E7723"/>
    <w:multiLevelType w:val="hybridMultilevel"/>
    <w:tmpl w:val="96E699E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B5270B"/>
    <w:multiLevelType w:val="hybridMultilevel"/>
    <w:tmpl w:val="1FCE770E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8B3797D"/>
    <w:multiLevelType w:val="hybridMultilevel"/>
    <w:tmpl w:val="F8EC2AF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1436CC5"/>
    <w:multiLevelType w:val="hybridMultilevel"/>
    <w:tmpl w:val="128E1944"/>
    <w:lvl w:ilvl="0" w:tplc="2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581E31"/>
    <w:multiLevelType w:val="hybridMultilevel"/>
    <w:tmpl w:val="DE004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75799C"/>
    <w:multiLevelType w:val="hybridMultilevel"/>
    <w:tmpl w:val="6632F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F7D66"/>
    <w:multiLevelType w:val="hybridMultilevel"/>
    <w:tmpl w:val="1A22CB6A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21869757">
    <w:abstractNumId w:val="11"/>
  </w:num>
  <w:num w:numId="2" w16cid:durableId="1171484763">
    <w:abstractNumId w:val="9"/>
  </w:num>
  <w:num w:numId="3" w16cid:durableId="1768581055">
    <w:abstractNumId w:val="16"/>
  </w:num>
  <w:num w:numId="4" w16cid:durableId="1587575413">
    <w:abstractNumId w:val="8"/>
  </w:num>
  <w:num w:numId="5" w16cid:durableId="826019153">
    <w:abstractNumId w:val="3"/>
  </w:num>
  <w:num w:numId="6" w16cid:durableId="135220781">
    <w:abstractNumId w:val="17"/>
  </w:num>
  <w:num w:numId="7" w16cid:durableId="1795251313">
    <w:abstractNumId w:val="7"/>
  </w:num>
  <w:num w:numId="8" w16cid:durableId="943344314">
    <w:abstractNumId w:val="0"/>
  </w:num>
  <w:num w:numId="9" w16cid:durableId="1789472363">
    <w:abstractNumId w:val="19"/>
  </w:num>
  <w:num w:numId="10" w16cid:durableId="260601964">
    <w:abstractNumId w:val="10"/>
  </w:num>
  <w:num w:numId="11" w16cid:durableId="204026418">
    <w:abstractNumId w:val="15"/>
  </w:num>
  <w:num w:numId="12" w16cid:durableId="1214543121">
    <w:abstractNumId w:val="18"/>
  </w:num>
  <w:num w:numId="13" w16cid:durableId="1152209965">
    <w:abstractNumId w:val="13"/>
  </w:num>
  <w:num w:numId="14" w16cid:durableId="539900179">
    <w:abstractNumId w:val="14"/>
  </w:num>
  <w:num w:numId="15" w16cid:durableId="849031011">
    <w:abstractNumId w:val="5"/>
  </w:num>
  <w:num w:numId="16" w16cid:durableId="1423261471">
    <w:abstractNumId w:val="12"/>
  </w:num>
  <w:num w:numId="17" w16cid:durableId="1753162724">
    <w:abstractNumId w:val="6"/>
  </w:num>
  <w:num w:numId="18" w16cid:durableId="1506746043">
    <w:abstractNumId w:val="4"/>
  </w:num>
  <w:num w:numId="19" w16cid:durableId="295988023">
    <w:abstractNumId w:val="21"/>
  </w:num>
  <w:num w:numId="20" w16cid:durableId="1459030369">
    <w:abstractNumId w:val="1"/>
  </w:num>
  <w:num w:numId="21" w16cid:durableId="470635001">
    <w:abstractNumId w:val="20"/>
  </w:num>
  <w:num w:numId="22" w16cid:durableId="1971127749">
    <w:abstractNumId w:val="22"/>
  </w:num>
  <w:num w:numId="23" w16cid:durableId="33191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C3D"/>
    <w:rsid w:val="00021ECB"/>
    <w:rsid w:val="0002365F"/>
    <w:rsid w:val="00104353"/>
    <w:rsid w:val="00111094"/>
    <w:rsid w:val="00140A1F"/>
    <w:rsid w:val="00167D80"/>
    <w:rsid w:val="001D36A6"/>
    <w:rsid w:val="001F147E"/>
    <w:rsid w:val="001F3BBA"/>
    <w:rsid w:val="00204C7F"/>
    <w:rsid w:val="00221692"/>
    <w:rsid w:val="0024553B"/>
    <w:rsid w:val="00252587"/>
    <w:rsid w:val="002B22E3"/>
    <w:rsid w:val="002B4D36"/>
    <w:rsid w:val="002D6074"/>
    <w:rsid w:val="00326F78"/>
    <w:rsid w:val="00335172"/>
    <w:rsid w:val="00375D05"/>
    <w:rsid w:val="00376F90"/>
    <w:rsid w:val="0044504A"/>
    <w:rsid w:val="0044595A"/>
    <w:rsid w:val="00475C45"/>
    <w:rsid w:val="00492DD6"/>
    <w:rsid w:val="0049557C"/>
    <w:rsid w:val="004A5F5F"/>
    <w:rsid w:val="0051029F"/>
    <w:rsid w:val="0052768A"/>
    <w:rsid w:val="00565F00"/>
    <w:rsid w:val="005C66DB"/>
    <w:rsid w:val="005D162E"/>
    <w:rsid w:val="005D7430"/>
    <w:rsid w:val="005E0131"/>
    <w:rsid w:val="00641FC4"/>
    <w:rsid w:val="00647906"/>
    <w:rsid w:val="00651538"/>
    <w:rsid w:val="006A0D81"/>
    <w:rsid w:val="006B2F0D"/>
    <w:rsid w:val="006E4121"/>
    <w:rsid w:val="0070775A"/>
    <w:rsid w:val="00710EC4"/>
    <w:rsid w:val="00793D23"/>
    <w:rsid w:val="007D1017"/>
    <w:rsid w:val="007D329A"/>
    <w:rsid w:val="007F74B4"/>
    <w:rsid w:val="00827255"/>
    <w:rsid w:val="00837AA1"/>
    <w:rsid w:val="0084450A"/>
    <w:rsid w:val="008E5050"/>
    <w:rsid w:val="00900044"/>
    <w:rsid w:val="009176CD"/>
    <w:rsid w:val="00944F87"/>
    <w:rsid w:val="009E65E4"/>
    <w:rsid w:val="009F57EB"/>
    <w:rsid w:val="00A04295"/>
    <w:rsid w:val="00A11335"/>
    <w:rsid w:val="00A30FC1"/>
    <w:rsid w:val="00A33E99"/>
    <w:rsid w:val="00A4270B"/>
    <w:rsid w:val="00A5408D"/>
    <w:rsid w:val="00AA306E"/>
    <w:rsid w:val="00AA30F2"/>
    <w:rsid w:val="00AD5A20"/>
    <w:rsid w:val="00AE0BFB"/>
    <w:rsid w:val="00AE7D0F"/>
    <w:rsid w:val="00AF7888"/>
    <w:rsid w:val="00B06A5E"/>
    <w:rsid w:val="00B12B83"/>
    <w:rsid w:val="00B47B29"/>
    <w:rsid w:val="00B70455"/>
    <w:rsid w:val="00B8756C"/>
    <w:rsid w:val="00BE63ED"/>
    <w:rsid w:val="00C11CE4"/>
    <w:rsid w:val="00C40427"/>
    <w:rsid w:val="00C47BBF"/>
    <w:rsid w:val="00C854DE"/>
    <w:rsid w:val="00CB5C3D"/>
    <w:rsid w:val="00CD325A"/>
    <w:rsid w:val="00CF1171"/>
    <w:rsid w:val="00DA39E1"/>
    <w:rsid w:val="00E35A79"/>
    <w:rsid w:val="00E36639"/>
    <w:rsid w:val="00E70CC5"/>
    <w:rsid w:val="00E8443A"/>
    <w:rsid w:val="00E95918"/>
    <w:rsid w:val="00ED044D"/>
    <w:rsid w:val="00EF3875"/>
    <w:rsid w:val="00F017E5"/>
    <w:rsid w:val="00F17F5D"/>
    <w:rsid w:val="00F31DD9"/>
    <w:rsid w:val="00F54952"/>
    <w:rsid w:val="00F62348"/>
    <w:rsid w:val="00F63C03"/>
    <w:rsid w:val="00F71239"/>
    <w:rsid w:val="00FC085C"/>
    <w:rsid w:val="00FD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B26F0"/>
  <w15:chartTrackingRefBased/>
  <w15:docId w15:val="{FE4584DE-F02D-41DE-8B51-BFBCC796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B5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B5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B5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B5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B5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B5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B5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B5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B5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B5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B5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B5C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B5C3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B5C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B5C3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B5C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B5C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B5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B5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B5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B5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B5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B5C3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B5C3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B5C3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5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5C3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B5C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3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1600</Words>
  <Characters>8800</Characters>
  <Application>Microsoft Office Word</Application>
  <DocSecurity>0</DocSecurity>
  <Lines>73</Lines>
  <Paragraphs>20</Paragraphs>
  <ScaleCrop>false</ScaleCrop>
  <Company/>
  <LinksUpToDate>false</LinksUpToDate>
  <CharactersWithSpaces>10380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GHERALDINE AVILA</dc:creator>
  <cp:keywords/>
  <dc:description/>
  <cp:lastModifiedBy>GHERALDINE AVILA</cp:lastModifiedBy>
  <cp:revision>78</cp:revision>
  <dcterms:created xsi:type="dcterms:W3CDTF">2024-07-30T20:19:00Z</dcterms:created>
  <dcterms:modified xsi:type="dcterms:W3CDTF">2024-08-06T17:52:00Z</dcterms:modified>
</cp:coreProperties>
</file>